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jc w:val="center"/>
        <w:rPr>
          <w:rFonts w:ascii="宋体" w:hAnsi="宋体"/>
          <w:sz w:val="44"/>
          <w:szCs w:val="44"/>
        </w:rPr>
      </w:pPr>
      <w:r>
        <w:rPr>
          <w:rFonts w:ascii="宋体" w:hAnsi="宋体"/>
          <w:sz w:val="44"/>
          <w:szCs w:val="44"/>
        </w:rPr>
        <w:t>20</w:t>
      </w:r>
      <w:r>
        <w:rPr>
          <w:rFonts w:hint="eastAsia" w:ascii="宋体" w:hAnsi="宋体"/>
          <w:sz w:val="44"/>
          <w:szCs w:val="44"/>
        </w:rPr>
        <w:t>20</w:t>
      </w:r>
      <w:r>
        <w:rPr>
          <w:rFonts w:ascii="宋体" w:hAnsi="宋体"/>
          <w:sz w:val="44"/>
          <w:szCs w:val="44"/>
        </w:rPr>
        <w:t>年</w:t>
      </w:r>
      <w:r>
        <w:rPr>
          <w:rFonts w:hint="eastAsia" w:ascii="宋体" w:hAnsi="宋体"/>
          <w:sz w:val="44"/>
          <w:szCs w:val="44"/>
        </w:rPr>
        <w:t>度部门</w:t>
      </w:r>
      <w:r>
        <w:rPr>
          <w:rFonts w:ascii="宋体" w:hAnsi="宋体"/>
          <w:sz w:val="44"/>
          <w:szCs w:val="44"/>
        </w:rPr>
        <w:t>整体绩效自评报告</w:t>
      </w: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ind w:left="4190" w:leftChars="700" w:hanging="2720" w:hangingChars="850"/>
        <w:rPr>
          <w:rFonts w:ascii="仿宋_GB2312" w:eastAsia="仿宋_GB2312"/>
          <w:bCs/>
          <w:sz w:val="32"/>
          <w:szCs w:val="32"/>
        </w:rPr>
      </w:pPr>
      <w:r>
        <w:rPr>
          <w:rFonts w:hint="eastAsia" w:ascii="仿宋_GB2312" w:eastAsia="仿宋_GB2312"/>
          <w:sz w:val="32"/>
          <w:szCs w:val="32"/>
        </w:rPr>
        <w:t>部门名称（公章）：</w:t>
      </w:r>
      <w:r>
        <w:rPr>
          <w:rFonts w:hint="eastAsia" w:ascii="仿宋_GB2312" w:eastAsia="仿宋_GB2312"/>
          <w:bCs/>
          <w:sz w:val="28"/>
          <w:szCs w:val="28"/>
        </w:rPr>
        <w:t>深圳市大鹏新区大鹏中心幼儿园</w:t>
      </w:r>
    </w:p>
    <w:p>
      <w:pPr>
        <w:spacing w:line="360" w:lineRule="auto"/>
        <w:ind w:firstLine="1440" w:firstLineChars="450"/>
        <w:rPr>
          <w:rFonts w:ascii="仿宋_GB2312" w:eastAsia="仿宋_GB2312"/>
          <w:sz w:val="32"/>
          <w:szCs w:val="32"/>
        </w:rPr>
      </w:pPr>
      <w:r>
        <w:rPr>
          <w:rFonts w:hint="eastAsia" w:ascii="仿宋_GB2312" w:eastAsia="仿宋_GB2312"/>
          <w:sz w:val="32"/>
          <w:szCs w:val="32"/>
        </w:rPr>
        <w:t>填报人：</w:t>
      </w:r>
      <w:bookmarkStart w:id="1" w:name="_GoBack"/>
      <w:r>
        <w:rPr>
          <w:rFonts w:hint="eastAsia" w:ascii="仿宋_GB2312" w:eastAsia="仿宋_GB2312"/>
          <w:sz w:val="32"/>
          <w:szCs w:val="32"/>
        </w:rPr>
        <w:t>黄润桂</w:t>
      </w:r>
      <w:bookmarkEnd w:id="1"/>
    </w:p>
    <w:p>
      <w:pPr>
        <w:spacing w:line="360" w:lineRule="auto"/>
        <w:ind w:firstLine="1440" w:firstLineChars="450"/>
        <w:rPr>
          <w:rFonts w:ascii="仿宋_GB2312" w:eastAsia="仿宋_GB2312"/>
          <w:sz w:val="32"/>
          <w:szCs w:val="32"/>
        </w:rPr>
      </w:pPr>
      <w:r>
        <w:rPr>
          <w:rFonts w:hint="eastAsia" w:ascii="仿宋_GB2312" w:eastAsia="仿宋_GB2312"/>
          <w:sz w:val="32"/>
          <w:szCs w:val="32"/>
        </w:rPr>
        <w:t>联系电话：0755-84303989</w:t>
      </w:r>
    </w:p>
    <w:p>
      <w:pPr>
        <w:jc w:val="center"/>
        <w:rPr>
          <w:rFonts w:ascii="仿宋_GB2312" w:eastAsia="仿宋_GB2312"/>
          <w:sz w:val="32"/>
          <w:szCs w:val="32"/>
        </w:rPr>
      </w:pPr>
    </w:p>
    <w:p>
      <w:pPr>
        <w:jc w:val="center"/>
        <w:rPr>
          <w:rFonts w:ascii="宋体" w:hAnsi="宋体"/>
          <w:sz w:val="44"/>
          <w:szCs w:val="44"/>
        </w:rPr>
      </w:pPr>
    </w:p>
    <w:p>
      <w:pPr>
        <w:jc w:val="center"/>
        <w:rPr>
          <w:rFonts w:ascii="宋体" w:hAnsi="宋体"/>
          <w:sz w:val="44"/>
          <w:szCs w:val="44"/>
        </w:rPr>
      </w:pPr>
    </w:p>
    <w:p>
      <w:pPr>
        <w:rPr>
          <w:rFonts w:ascii="宋体" w:hAnsi="宋体"/>
          <w:sz w:val="44"/>
          <w:szCs w:val="44"/>
        </w:rPr>
      </w:pPr>
    </w:p>
    <w:p>
      <w:pPr>
        <w:rPr>
          <w:rFonts w:ascii="宋体" w:hAnsi="宋体"/>
          <w:sz w:val="44"/>
          <w:szCs w:val="44"/>
        </w:rPr>
      </w:pPr>
    </w:p>
    <w:p>
      <w:pPr>
        <w:rPr>
          <w:rFonts w:ascii="宋体" w:hAnsi="宋体"/>
          <w:sz w:val="44"/>
          <w:szCs w:val="44"/>
        </w:rPr>
      </w:pPr>
    </w:p>
    <w:p>
      <w:pPr>
        <w:snapToGrid w:val="0"/>
        <w:spacing w:line="540" w:lineRule="exact"/>
        <w:rPr>
          <w:rFonts w:ascii="宋体" w:hAnsi="宋体"/>
          <w:sz w:val="44"/>
          <w:szCs w:val="44"/>
        </w:rPr>
      </w:pPr>
    </w:p>
    <w:p>
      <w:pPr>
        <w:rPr>
          <w:rFonts w:ascii="仿宋_GB2312" w:hAnsi="黑体" w:eastAsia="仿宋_GB2312"/>
          <w:sz w:val="32"/>
          <w:szCs w:val="32"/>
        </w:rPr>
      </w:pPr>
    </w:p>
    <w:p>
      <w:pPr>
        <w:ind w:firstLine="640" w:firstLineChars="200"/>
        <w:rPr>
          <w:rFonts w:hint="eastAsia" w:ascii="仿宋_GB2312" w:hAnsi="黑体" w:eastAsia="仿宋_GB2312"/>
          <w:bCs/>
          <w:sz w:val="32"/>
          <w:szCs w:val="32"/>
          <w:lang w:eastAsia="zh-CN"/>
        </w:rPr>
      </w:pPr>
      <w:r>
        <w:rPr>
          <w:rFonts w:hint="eastAsia" w:ascii="仿宋_GB2312" w:hAnsi="黑体" w:eastAsia="仿宋_GB2312"/>
          <w:sz w:val="32"/>
          <w:szCs w:val="32"/>
        </w:rPr>
        <w:t>为贯彻落实党的十九大精神，按照《中共中央 国务院关于全面实施预算绩效管理的意见》《深圳市财政局关于贯彻落实全面实施预算绩效管理有关事项的通知》及《大鹏新区贯彻落实全面实施预算绩效管理实施方案》要求，根据《中华人民共和国预算法》及实施条例，结合深圳市大鹏新区发展和财政局《关于做好新区2021预算绩效管理工作的通知》要求（深鹏发财函〔2021〕51号），在新区教育和卫</w:t>
      </w:r>
      <w:r>
        <w:rPr>
          <w:rFonts w:hint="eastAsia" w:ascii="仿宋_GB2312" w:hAnsi="黑体" w:eastAsia="仿宋_GB2312"/>
          <w:sz w:val="32"/>
          <w:szCs w:val="32"/>
          <w:lang w:val="en-US" w:eastAsia="zh-CN"/>
        </w:rPr>
        <w:t>生</w:t>
      </w:r>
      <w:r>
        <w:rPr>
          <w:rFonts w:hint="eastAsia" w:ascii="仿宋_GB2312" w:hAnsi="黑体" w:eastAsia="仿宋_GB2312"/>
          <w:sz w:val="32"/>
          <w:szCs w:val="32"/>
        </w:rPr>
        <w:t>健</w:t>
      </w:r>
      <w:r>
        <w:rPr>
          <w:rFonts w:hint="eastAsia" w:ascii="仿宋_GB2312" w:hAnsi="黑体" w:eastAsia="仿宋_GB2312"/>
          <w:sz w:val="32"/>
          <w:szCs w:val="32"/>
          <w:lang w:val="en-US" w:eastAsia="zh-CN"/>
        </w:rPr>
        <w:t>康</w:t>
      </w:r>
      <w:r>
        <w:rPr>
          <w:rFonts w:hint="eastAsia" w:ascii="仿宋_GB2312" w:hAnsi="黑体" w:eastAsia="仿宋_GB2312"/>
          <w:sz w:val="32"/>
          <w:szCs w:val="32"/>
        </w:rPr>
        <w:t>局的领导下，深圳市大鹏新区大鹏中心幼儿园（以下简称“我园”）组织绩效评价小组对2020年度部门整体支出展开绩效自评工作，现将评价情况及结果报告如下</w:t>
      </w:r>
      <w:r>
        <w:rPr>
          <w:rFonts w:hint="eastAsia" w:ascii="仿宋_GB2312" w:hAnsi="黑体" w:eastAsia="仿宋_GB2312"/>
          <w:sz w:val="32"/>
          <w:szCs w:val="32"/>
          <w:lang w:eastAsia="zh-CN"/>
        </w:rPr>
        <w:t>：</w:t>
      </w:r>
    </w:p>
    <w:p>
      <w:pPr>
        <w:ind w:firstLine="640" w:firstLineChars="200"/>
        <w:rPr>
          <w:rFonts w:ascii="黑体" w:hAnsi="黑体" w:eastAsia="黑体"/>
          <w:sz w:val="32"/>
          <w:szCs w:val="32"/>
        </w:rPr>
      </w:pPr>
      <w:r>
        <w:rPr>
          <w:rFonts w:hint="eastAsia" w:ascii="黑体" w:hAnsi="黑体" w:eastAsia="黑体"/>
          <w:sz w:val="32"/>
          <w:szCs w:val="32"/>
        </w:rPr>
        <w:t>一、部门（单位）基本情况</w:t>
      </w:r>
    </w:p>
    <w:p>
      <w:pPr>
        <w:ind w:firstLine="481" w:firstLineChars="150"/>
        <w:rPr>
          <w:rFonts w:ascii="楷体" w:hAnsi="楷体" w:eastAsia="楷体"/>
          <w:b/>
          <w:sz w:val="32"/>
          <w:szCs w:val="32"/>
        </w:rPr>
      </w:pPr>
      <w:r>
        <w:rPr>
          <w:rFonts w:hint="eastAsia" w:ascii="楷体" w:hAnsi="楷体" w:eastAsia="楷体"/>
          <w:b/>
          <w:sz w:val="32"/>
          <w:szCs w:val="32"/>
        </w:rPr>
        <w:t>（一）部门主要职能</w:t>
      </w:r>
    </w:p>
    <w:p>
      <w:pPr>
        <w:ind w:firstLine="640" w:firstLineChars="200"/>
        <w:rPr>
          <w:rFonts w:ascii="仿宋_GB2312" w:hAnsi="黑体" w:eastAsia="仿宋_GB2312"/>
          <w:sz w:val="32"/>
          <w:szCs w:val="32"/>
        </w:rPr>
      </w:pPr>
      <w:r>
        <w:rPr>
          <w:rFonts w:hint="eastAsia" w:ascii="仿宋_GB2312" w:hAnsi="黑体" w:eastAsia="仿宋_GB2312"/>
          <w:sz w:val="32"/>
          <w:szCs w:val="32"/>
        </w:rPr>
        <w:t>我园的主要职能职责为：</w:t>
      </w:r>
    </w:p>
    <w:p>
      <w:pPr>
        <w:ind w:firstLine="640" w:firstLineChars="200"/>
        <w:rPr>
          <w:rFonts w:ascii="仿宋_GB2312" w:hAnsi="黑体" w:eastAsia="仿宋_GB2312"/>
          <w:sz w:val="32"/>
          <w:szCs w:val="32"/>
        </w:rPr>
      </w:pPr>
      <w:r>
        <w:rPr>
          <w:rFonts w:hint="eastAsia" w:ascii="仿宋_GB2312" w:hAnsi="黑体" w:eastAsia="仿宋_GB2312"/>
          <w:sz w:val="32"/>
          <w:szCs w:val="32"/>
        </w:rPr>
        <w:t>1.认真贯彻教育方针，贯彻执行《幼儿园管理条例》《幼儿园工作规程》等有关法规、法律、执行上级主管部门的指示和下达的各项工作，努力完成任务。</w:t>
      </w:r>
    </w:p>
    <w:p>
      <w:pPr>
        <w:ind w:firstLine="640" w:firstLineChars="200"/>
        <w:rPr>
          <w:rFonts w:ascii="仿宋_GB2312" w:hAnsi="黑体" w:eastAsia="仿宋_GB2312"/>
          <w:sz w:val="32"/>
          <w:szCs w:val="32"/>
        </w:rPr>
      </w:pPr>
      <w:r>
        <w:rPr>
          <w:rFonts w:hint="eastAsia" w:ascii="仿宋_GB2312" w:hAnsi="黑体" w:eastAsia="仿宋_GB2312"/>
          <w:sz w:val="32"/>
          <w:szCs w:val="32"/>
        </w:rPr>
        <w:t>2.主持全园行政、业务管理，制定全园工作计划，做好实施、检查、总结工作。努力提高保教质量，提高服务质量。</w:t>
      </w:r>
    </w:p>
    <w:p>
      <w:pPr>
        <w:ind w:firstLine="640" w:firstLineChars="200"/>
        <w:rPr>
          <w:rFonts w:ascii="仿宋_GB2312" w:hAnsi="黑体" w:eastAsia="仿宋_GB2312"/>
          <w:sz w:val="32"/>
          <w:szCs w:val="32"/>
        </w:rPr>
      </w:pPr>
      <w:r>
        <w:rPr>
          <w:rFonts w:hint="eastAsia" w:ascii="仿宋_GB2312" w:hAnsi="黑体" w:eastAsia="仿宋_GB2312"/>
          <w:sz w:val="32"/>
          <w:szCs w:val="32"/>
        </w:rPr>
        <w:t>3.负责聘任、调配工作人员，对全园教职工工作进行指导、检查、评估、考核，并给予奖惩。</w:t>
      </w:r>
    </w:p>
    <w:p>
      <w:pPr>
        <w:ind w:firstLine="640" w:firstLineChars="200"/>
        <w:rPr>
          <w:rFonts w:ascii="仿宋_GB2312" w:hAnsi="黑体" w:eastAsia="仿宋_GB2312"/>
          <w:sz w:val="32"/>
          <w:szCs w:val="32"/>
        </w:rPr>
      </w:pPr>
      <w:r>
        <w:rPr>
          <w:rFonts w:hint="eastAsia" w:ascii="仿宋_GB2312" w:hAnsi="黑体" w:eastAsia="仿宋_GB2312"/>
          <w:sz w:val="32"/>
          <w:szCs w:val="32"/>
        </w:rPr>
        <w:t>4.加强全园教</w:t>
      </w:r>
      <w:r>
        <w:rPr>
          <w:rFonts w:hint="eastAsia" w:ascii="仿宋_GB2312" w:hAnsi="黑体" w:eastAsia="仿宋_GB2312"/>
          <w:sz w:val="32"/>
          <w:szCs w:val="32"/>
          <w:lang w:eastAsia="zh-CN"/>
        </w:rPr>
        <w:t>职</w:t>
      </w:r>
      <w:r>
        <w:rPr>
          <w:rFonts w:hint="eastAsia" w:ascii="仿宋_GB2312" w:hAnsi="黑体" w:eastAsia="仿宋_GB2312"/>
          <w:sz w:val="32"/>
          <w:szCs w:val="32"/>
        </w:rPr>
        <w:t>工的思想工作，进行职业道德教育，组织文化、业务学习。并为他们的政治、文化业务进修创造必要的条件，关心和逐步改善</w:t>
      </w:r>
      <w:r>
        <w:rPr>
          <w:rFonts w:hint="eastAsia" w:ascii="仿宋_GB2312" w:hAnsi="黑体" w:eastAsia="仿宋_GB2312"/>
          <w:sz w:val="32"/>
          <w:szCs w:val="32"/>
          <w:lang w:eastAsia="zh-CN"/>
        </w:rPr>
        <w:t>教职工</w:t>
      </w:r>
      <w:r>
        <w:rPr>
          <w:rFonts w:hint="eastAsia" w:ascii="仿宋_GB2312" w:hAnsi="黑体" w:eastAsia="仿宋_GB2312"/>
          <w:sz w:val="32"/>
          <w:szCs w:val="32"/>
        </w:rPr>
        <w:t>的生活工作条件，提高他们的政治、业务水平，维护他们的正当权益，形成良好园风。</w:t>
      </w:r>
    </w:p>
    <w:p>
      <w:pPr>
        <w:ind w:firstLine="640" w:firstLineChars="200"/>
        <w:rPr>
          <w:rFonts w:ascii="仿宋_GB2312" w:hAnsi="黑体" w:eastAsia="仿宋_GB2312"/>
          <w:sz w:val="32"/>
          <w:szCs w:val="32"/>
        </w:rPr>
      </w:pPr>
      <w:r>
        <w:rPr>
          <w:rFonts w:hint="eastAsia" w:ascii="仿宋_GB2312" w:hAnsi="黑体" w:eastAsia="仿宋_GB2312"/>
          <w:sz w:val="32"/>
          <w:szCs w:val="32"/>
        </w:rPr>
        <w:t>5.坚持勤俭办园的方针，管理好园舍、设备和经费，督促事务、财务人员合理安排资金开支，搞好绿化工作，不断改善办园的条件。</w:t>
      </w:r>
    </w:p>
    <w:p>
      <w:pPr>
        <w:ind w:firstLine="640" w:firstLineChars="200"/>
        <w:rPr>
          <w:rFonts w:ascii="仿宋_GB2312" w:hAnsi="黑体" w:eastAsia="仿宋_GB2312"/>
          <w:sz w:val="32"/>
          <w:szCs w:val="32"/>
        </w:rPr>
      </w:pPr>
      <w:r>
        <w:rPr>
          <w:rFonts w:hint="eastAsia" w:ascii="仿宋_GB2312" w:hAnsi="黑体" w:eastAsia="仿宋_GB2312"/>
          <w:sz w:val="32"/>
          <w:szCs w:val="32"/>
        </w:rPr>
        <w:t>6.增强民主管理意识，经常听取意见，改进工作。依靠和发挥党、政、工、团骨干作用，办好幼儿园。</w:t>
      </w:r>
    </w:p>
    <w:p>
      <w:pPr>
        <w:ind w:firstLine="640" w:firstLineChars="200"/>
        <w:rPr>
          <w:rFonts w:ascii="仿宋_GB2312" w:hAnsi="黑体" w:eastAsia="仿宋_GB2312"/>
          <w:sz w:val="32"/>
          <w:szCs w:val="32"/>
        </w:rPr>
      </w:pPr>
      <w:r>
        <w:rPr>
          <w:rFonts w:hint="eastAsia" w:ascii="仿宋_GB2312" w:hAnsi="黑体" w:eastAsia="仿宋_GB2312"/>
          <w:sz w:val="32"/>
          <w:szCs w:val="32"/>
        </w:rPr>
        <w:t>7.努力学习，及时了解吸收幼儿工作的信息、经验、不断提高自身政治、文化业务素质，推动促进幼儿园各项工作的开展。</w:t>
      </w:r>
    </w:p>
    <w:p>
      <w:pPr>
        <w:ind w:left="1056" w:leftChars="198" w:hanging="640" w:hangingChars="200"/>
        <w:rPr>
          <w:rFonts w:ascii="仿宋_GB2312" w:hAnsi="黑体" w:eastAsia="仿宋_GB2312"/>
          <w:sz w:val="32"/>
          <w:szCs w:val="32"/>
        </w:rPr>
      </w:pPr>
      <w:r>
        <w:rPr>
          <w:rFonts w:ascii="仿宋_GB2312" w:hAnsi="黑体" w:eastAsia="仿宋_GB2312"/>
          <w:sz w:val="32"/>
          <w:szCs w:val="32"/>
        </w:rPr>
        <w:t>　</w:t>
      </w:r>
      <w:r>
        <w:rPr>
          <w:rFonts w:hint="eastAsia" w:ascii="仿宋_GB2312" w:hAnsi="黑体" w:eastAsia="仿宋_GB2312"/>
          <w:sz w:val="32"/>
          <w:szCs w:val="32"/>
        </w:rPr>
        <w:t>8.</w:t>
      </w:r>
      <w:r>
        <w:rPr>
          <w:rFonts w:ascii="仿宋_GB2312" w:hAnsi="黑体" w:eastAsia="仿宋_GB2312"/>
          <w:sz w:val="32"/>
          <w:szCs w:val="32"/>
        </w:rPr>
        <w:t>承办</w:t>
      </w:r>
      <w:r>
        <w:rPr>
          <w:rFonts w:hint="eastAsia" w:ascii="仿宋_GB2312" w:hAnsi="黑体" w:eastAsia="仿宋_GB2312"/>
          <w:sz w:val="32"/>
          <w:szCs w:val="32"/>
        </w:rPr>
        <w:t>新区党工委、管委会</w:t>
      </w:r>
      <w:r>
        <w:rPr>
          <w:rFonts w:ascii="仿宋_GB2312" w:hAnsi="黑体" w:eastAsia="仿宋_GB2312"/>
          <w:sz w:val="32"/>
          <w:szCs w:val="32"/>
        </w:rPr>
        <w:t>和上级部门交办的其他项</w:t>
      </w:r>
      <w:r>
        <w:rPr>
          <w:rFonts w:hint="eastAsia" w:ascii="仿宋_GB2312" w:hAnsi="黑体" w:eastAsia="仿宋_GB2312"/>
          <w:sz w:val="32"/>
          <w:szCs w:val="32"/>
        </w:rPr>
        <w:t>。</w:t>
      </w:r>
    </w:p>
    <w:p>
      <w:pPr>
        <w:ind w:firstLine="420"/>
        <w:rPr>
          <w:rFonts w:ascii="楷体" w:hAnsi="楷体" w:eastAsia="楷体"/>
          <w:b/>
          <w:sz w:val="32"/>
          <w:szCs w:val="32"/>
        </w:rPr>
      </w:pPr>
      <w:r>
        <w:rPr>
          <w:rFonts w:hint="eastAsia" w:ascii="楷体" w:hAnsi="楷体" w:eastAsia="楷体"/>
          <w:b/>
          <w:sz w:val="32"/>
          <w:szCs w:val="32"/>
        </w:rPr>
        <w:t>（二）年度总体工作和重点工作任务。</w:t>
      </w:r>
    </w:p>
    <w:p>
      <w:pPr>
        <w:ind w:firstLine="640" w:firstLineChars="200"/>
        <w:rPr>
          <w:rFonts w:ascii="仿宋_GB2312" w:hAnsi="黑体" w:eastAsia="仿宋_GB2312"/>
          <w:sz w:val="32"/>
          <w:szCs w:val="32"/>
        </w:rPr>
      </w:pPr>
      <w:r>
        <w:rPr>
          <w:rFonts w:hint="eastAsia" w:ascii="仿宋_GB2312" w:hAnsi="黑体" w:eastAsia="仿宋_GB2312"/>
          <w:sz w:val="32"/>
          <w:szCs w:val="32"/>
        </w:rPr>
        <w:t>2020年，我园坚持在新区教育和卫生健康局的坚强领导下，以广东省深圳市大鹏新区幼儿园工作计划为依据，以《幼儿园工作规程》《幼儿园教育指导纲要》为指导，以全面贯彻落实《3—6岁儿童学习与发展指南》为核心，秉承“走向自然，阳光成长”的办园理念，积极开展教育科研工作，加强教职工队伍建设，完善园本课程体系，努力提高工作成效</w:t>
      </w:r>
      <w:r>
        <w:rPr>
          <w:rFonts w:hint="eastAsia" w:ascii="仿宋_GB2312" w:hAnsi="黑体" w:eastAsia="仿宋_GB2312"/>
          <w:sz w:val="32"/>
          <w:szCs w:val="32"/>
          <w:lang w:eastAsia="zh-CN"/>
        </w:rPr>
        <w:t>，</w:t>
      </w:r>
      <w:r>
        <w:rPr>
          <w:rFonts w:hint="eastAsia" w:ascii="仿宋_GB2312" w:hAnsi="黑体" w:eastAsia="仿宋_GB2312"/>
          <w:sz w:val="32"/>
          <w:szCs w:val="32"/>
        </w:rPr>
        <w:t>不断推进保教质量向纵深发展，努力做“幼有善育”的示范引领。</w:t>
      </w:r>
    </w:p>
    <w:p>
      <w:pPr>
        <w:ind w:firstLine="481" w:firstLineChars="150"/>
        <w:rPr>
          <w:rFonts w:ascii="楷体" w:hAnsi="楷体" w:eastAsia="楷体"/>
          <w:b/>
          <w:sz w:val="32"/>
          <w:szCs w:val="32"/>
        </w:rPr>
      </w:pPr>
      <w:r>
        <w:rPr>
          <w:rFonts w:hint="eastAsia" w:ascii="楷体" w:hAnsi="楷体" w:eastAsia="楷体"/>
          <w:b/>
          <w:sz w:val="32"/>
          <w:szCs w:val="32"/>
        </w:rPr>
        <w:t>（三）2020年部门预算编制情况。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1.部门预算编制合理规范。我园按照新区发展和财政局、</w:t>
      </w:r>
      <w:r>
        <w:rPr>
          <w:rFonts w:hint="eastAsia" w:ascii="仿宋_GB2312" w:hAnsi="黑体" w:eastAsia="仿宋_GB2312"/>
          <w:sz w:val="32"/>
          <w:szCs w:val="32"/>
          <w:lang w:val="en-US" w:eastAsia="zh-CN"/>
        </w:rPr>
        <w:t>新</w:t>
      </w:r>
      <w:r>
        <w:rPr>
          <w:rFonts w:hint="eastAsia" w:ascii="仿宋_GB2312" w:hAnsi="黑体" w:eastAsia="仿宋_GB2312"/>
          <w:sz w:val="32"/>
          <w:szCs w:val="32"/>
        </w:rPr>
        <w:t>区教育和卫生健康局有关预算编制管理规定的要求，紧密结合部门职能，开展2020年部门预算编制工作，按照收支平衡、保障重点的原则，合理编制部门预算。</w:t>
      </w:r>
    </w:p>
    <w:p>
      <w:pPr>
        <w:ind w:firstLine="640" w:firstLineChars="200"/>
        <w:rPr>
          <w:rFonts w:ascii="仿宋_GB2312" w:hAnsi="黑体" w:eastAsia="仿宋_GB2312"/>
          <w:sz w:val="32"/>
          <w:szCs w:val="32"/>
        </w:rPr>
      </w:pPr>
      <w:r>
        <w:rPr>
          <w:rFonts w:hint="eastAsia" w:ascii="仿宋_GB2312" w:hAnsi="黑体" w:eastAsia="仿宋_GB2312"/>
          <w:sz w:val="32"/>
          <w:szCs w:val="32"/>
        </w:rPr>
        <w:t>我园预算编制主要是根据年度工作目标、重点任务，参考上年度预算执行情况及本年度收支预测情况进行开展。各业务部门编制预算项目的具体内容并提供预算编制依据，财务室作为预算绩效归口管理部门负责汇总审核编制的预算，综合平衡预算收支，提出预算支出的重点与安排建议，形成年度建议预算数,由园领导会议审议通过后报新区教育和卫</w:t>
      </w:r>
      <w:r>
        <w:rPr>
          <w:rFonts w:hint="eastAsia" w:ascii="仿宋_GB2312" w:hAnsi="黑体" w:eastAsia="仿宋_GB2312"/>
          <w:sz w:val="32"/>
          <w:szCs w:val="32"/>
          <w:lang w:val="en-US" w:eastAsia="zh-CN"/>
        </w:rPr>
        <w:t>生健康</w:t>
      </w:r>
      <w:r>
        <w:rPr>
          <w:rFonts w:hint="eastAsia" w:ascii="仿宋_GB2312" w:hAnsi="黑体" w:eastAsia="仿宋_GB2312"/>
          <w:sz w:val="32"/>
          <w:szCs w:val="32"/>
        </w:rPr>
        <w:t>局。</w:t>
      </w:r>
    </w:p>
    <w:p>
      <w:pPr>
        <w:ind w:firstLine="640" w:firstLineChars="200"/>
        <w:rPr>
          <w:rFonts w:ascii="仿宋_GB2312" w:hAnsi="黑体" w:eastAsia="仿宋_GB2312"/>
          <w:sz w:val="32"/>
          <w:szCs w:val="32"/>
        </w:rPr>
      </w:pPr>
      <w:r>
        <w:rPr>
          <w:rFonts w:hint="eastAsia" w:ascii="仿宋_GB2312" w:hAnsi="黑体" w:eastAsia="仿宋_GB2312"/>
          <w:sz w:val="32"/>
          <w:szCs w:val="32"/>
        </w:rPr>
        <w:t>2020年我园预算编制和分配符合本部门职责、符合新区党工委、管委会和</w:t>
      </w:r>
      <w:r>
        <w:rPr>
          <w:rFonts w:hint="eastAsia" w:ascii="仿宋_GB2312" w:hAnsi="黑体" w:eastAsia="仿宋_GB2312"/>
          <w:sz w:val="32"/>
          <w:szCs w:val="32"/>
          <w:lang w:val="en-US" w:eastAsia="zh-CN"/>
        </w:rPr>
        <w:t>新</w:t>
      </w:r>
      <w:r>
        <w:rPr>
          <w:rFonts w:hint="eastAsia" w:ascii="仿宋_GB2312" w:hAnsi="黑体" w:eastAsia="仿宋_GB2312"/>
          <w:sz w:val="32"/>
          <w:szCs w:val="32"/>
        </w:rPr>
        <w:t>区教育和卫生健康局的方针政策和工作要求，部门预算资金能根据年度工作重点，在不同项目、不同用途之间分配合理，部门预算分配不固化，能根据实际情况在同一项目内合理调整。</w:t>
      </w:r>
    </w:p>
    <w:p>
      <w:pPr>
        <w:ind w:firstLine="803" w:firstLineChars="250"/>
        <w:rPr>
          <w:rFonts w:ascii="仿宋_GB2312" w:hAnsi="黑体" w:eastAsia="仿宋_GB2312"/>
          <w:sz w:val="32"/>
          <w:szCs w:val="32"/>
        </w:rPr>
      </w:pPr>
      <w:r>
        <w:rPr>
          <w:rFonts w:hint="eastAsia" w:ascii="仿宋_GB2312" w:hAnsi="黑体" w:eastAsia="仿宋_GB2312"/>
          <w:b/>
          <w:sz w:val="32"/>
          <w:szCs w:val="32"/>
        </w:rPr>
        <w:t>2.绩效目标设置完整明确。</w:t>
      </w:r>
      <w:r>
        <w:rPr>
          <w:rFonts w:hint="eastAsia" w:ascii="仿宋_GB2312" w:hAnsi="黑体" w:eastAsia="仿宋_GB2312"/>
          <w:sz w:val="32"/>
          <w:szCs w:val="32"/>
        </w:rPr>
        <w:t>根据新区发展和财政局和新区教育和卫</w:t>
      </w:r>
      <w:r>
        <w:rPr>
          <w:rFonts w:hint="eastAsia" w:ascii="仿宋_GB2312" w:hAnsi="黑体" w:eastAsia="仿宋_GB2312"/>
          <w:sz w:val="32"/>
          <w:szCs w:val="32"/>
          <w:lang w:val="en-US" w:eastAsia="zh-CN"/>
        </w:rPr>
        <w:t>生</w:t>
      </w:r>
      <w:r>
        <w:rPr>
          <w:rFonts w:hint="eastAsia" w:ascii="仿宋_GB2312" w:hAnsi="黑体" w:eastAsia="仿宋_GB2312"/>
          <w:sz w:val="32"/>
          <w:szCs w:val="32"/>
        </w:rPr>
        <w:t>健</w:t>
      </w:r>
      <w:r>
        <w:rPr>
          <w:rFonts w:hint="eastAsia" w:ascii="仿宋_GB2312" w:hAnsi="黑体" w:eastAsia="仿宋_GB2312"/>
          <w:sz w:val="32"/>
          <w:szCs w:val="32"/>
          <w:lang w:val="en-US" w:eastAsia="zh-CN"/>
        </w:rPr>
        <w:t>康</w:t>
      </w:r>
      <w:r>
        <w:rPr>
          <w:rFonts w:hint="eastAsia" w:ascii="仿宋_GB2312" w:hAnsi="黑体" w:eastAsia="仿宋_GB2312"/>
          <w:sz w:val="32"/>
          <w:szCs w:val="32"/>
        </w:rPr>
        <w:t>局的预算绩效管理工作安排，我园将所有项目支出纳入部门预算绩效管理并编制预算绩效目标，项目在所属科室申报预算建议数时，同时填报《项目支出绩效目标申报表》，且分别从项目设立依据、项目申报必要性、项目申报可行性三个方面阐述项目立项情况，并明确了项目的年度目标和中长期目标。</w:t>
      </w:r>
    </w:p>
    <w:p>
      <w:pPr>
        <w:ind w:firstLine="640" w:firstLineChars="200"/>
        <w:rPr>
          <w:rFonts w:ascii="仿宋_GB2312" w:hAnsi="黑体" w:eastAsia="仿宋_GB2312"/>
          <w:sz w:val="32"/>
          <w:szCs w:val="32"/>
        </w:rPr>
      </w:pPr>
      <w:r>
        <w:rPr>
          <w:rFonts w:hint="eastAsia" w:ascii="仿宋_GB2312" w:hAnsi="黑体" w:eastAsia="仿宋_GB2312"/>
          <w:sz w:val="32"/>
          <w:szCs w:val="32"/>
        </w:rPr>
        <w:t>同时，按照财政部门预算绩效管理工作要求，我园在开展2020年绩效自评工作前，将所有部门预算项目补充完善绩效目标设置，分别从产出目标和效益目标两方面设置了三级指标，根据工作计划、行业标准、历史标准等定性定量明确了指标目标值，实现绩效目标全覆盖，同时根据部门职责，合理设置部门整体个性化绩效指标。绩效目标设置完整、明确，符合我园履职要求，能够体现我园履职效果，绩效目标的目标值测算符合客观实际情况。</w:t>
      </w:r>
    </w:p>
    <w:p>
      <w:pPr>
        <w:ind w:firstLine="420"/>
        <w:rPr>
          <w:rFonts w:ascii="楷体" w:hAnsi="楷体" w:eastAsia="楷体"/>
          <w:b/>
          <w:sz w:val="32"/>
          <w:szCs w:val="32"/>
        </w:rPr>
      </w:pPr>
      <w:r>
        <w:rPr>
          <w:rFonts w:hint="eastAsia" w:ascii="楷体" w:hAnsi="楷体" w:eastAsia="楷体"/>
          <w:b/>
          <w:sz w:val="32"/>
          <w:szCs w:val="32"/>
        </w:rPr>
        <w:t>（四）2020年部门预算执行情况。</w:t>
      </w:r>
    </w:p>
    <w:p>
      <w:pPr>
        <w:ind w:firstLine="642" w:firstLineChars="200"/>
        <w:rPr>
          <w:rFonts w:ascii="仿宋_GB2312" w:eastAsia="仿宋_GB2312"/>
          <w:b/>
          <w:bCs/>
          <w:color w:val="000000"/>
          <w:kern w:val="0"/>
          <w:sz w:val="32"/>
          <w:szCs w:val="32"/>
        </w:rPr>
      </w:pPr>
      <w:r>
        <w:rPr>
          <w:rFonts w:ascii="仿宋_GB2312" w:eastAsia="仿宋_GB2312"/>
          <w:b/>
          <w:bCs/>
          <w:color w:val="000000"/>
          <w:kern w:val="0"/>
          <w:sz w:val="32"/>
          <w:szCs w:val="32"/>
        </w:rPr>
        <w:t>1.</w:t>
      </w:r>
      <w:r>
        <w:rPr>
          <w:rFonts w:hint="eastAsia" w:ascii="仿宋_GB2312" w:eastAsia="仿宋_GB2312"/>
          <w:b/>
          <w:bCs/>
          <w:color w:val="000000"/>
          <w:kern w:val="0"/>
          <w:sz w:val="32"/>
          <w:szCs w:val="32"/>
        </w:rPr>
        <w:t>资金管理</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1</w:t>
      </w:r>
      <w:r>
        <w:rPr>
          <w:rFonts w:hint="eastAsia" w:ascii="仿宋_GB2312" w:eastAsia="仿宋_GB2312"/>
          <w:b/>
          <w:bCs/>
          <w:color w:val="000000"/>
          <w:kern w:val="0"/>
          <w:sz w:val="32"/>
          <w:szCs w:val="32"/>
        </w:rPr>
        <w:t>）资金预算、支出及结余结转情况</w:t>
      </w:r>
    </w:p>
    <w:p>
      <w:pPr>
        <w:ind w:firstLine="640" w:firstLineChars="200"/>
        <w:rPr>
          <w:rFonts w:ascii="仿宋_GB2312" w:eastAsia="仿宋_GB2312"/>
          <w:color w:val="000000"/>
          <w:kern w:val="0"/>
          <w:sz w:val="32"/>
          <w:szCs w:val="32"/>
        </w:rPr>
      </w:pPr>
      <w:bookmarkStart w:id="0" w:name="_Hlk50046743"/>
      <w:r>
        <w:rPr>
          <w:rFonts w:ascii="仿宋_GB2312" w:eastAsia="仿宋_GB2312"/>
          <w:color w:val="000000"/>
          <w:kern w:val="0"/>
          <w:sz w:val="32"/>
          <w:szCs w:val="32"/>
        </w:rPr>
        <w:t>2020</w:t>
      </w:r>
      <w:r>
        <w:rPr>
          <w:rFonts w:hint="eastAsia" w:ascii="仿宋_GB2312" w:eastAsia="仿宋_GB2312"/>
          <w:color w:val="000000"/>
          <w:kern w:val="0"/>
          <w:sz w:val="32"/>
          <w:szCs w:val="32"/>
        </w:rPr>
        <w:t>年我园年初预算收入总额为</w:t>
      </w:r>
      <w:r>
        <w:rPr>
          <w:rFonts w:hint="eastAsia" w:ascii="仿宋_GB2312" w:hAnsi="仿宋" w:eastAsia="仿宋_GB2312"/>
          <w:color w:val="000000"/>
          <w:sz w:val="32"/>
          <w:szCs w:val="32"/>
        </w:rPr>
        <w:t>1303.15</w:t>
      </w:r>
      <w:r>
        <w:rPr>
          <w:rFonts w:hint="eastAsia" w:ascii="仿宋_GB2312" w:eastAsia="仿宋_GB2312"/>
          <w:color w:val="000000"/>
          <w:kern w:val="0"/>
          <w:sz w:val="32"/>
          <w:szCs w:val="32"/>
        </w:rPr>
        <w:t>万元，年中经调整预算为1721.81万元，</w:t>
      </w:r>
      <w:r>
        <w:rPr>
          <w:rFonts w:hint="eastAsia" w:ascii="仿宋_GB2312" w:hAnsi="仿宋" w:eastAsia="仿宋_GB2312"/>
          <w:color w:val="000000"/>
          <w:sz w:val="32"/>
          <w:szCs w:val="32"/>
        </w:rPr>
        <w:t>其中：一般公共预算财政拨款收入</w:t>
      </w:r>
      <w:r>
        <w:rPr>
          <w:rFonts w:ascii="仿宋_GB2312" w:hAnsi="仿宋" w:eastAsia="仿宋_GB2312"/>
          <w:color w:val="000000"/>
          <w:sz w:val="32"/>
          <w:szCs w:val="32"/>
        </w:rPr>
        <w:t>1334</w:t>
      </w:r>
      <w:r>
        <w:rPr>
          <w:rFonts w:hint="eastAsia" w:ascii="仿宋_GB2312" w:hAnsi="仿宋" w:eastAsia="仿宋_GB2312"/>
          <w:color w:val="000000"/>
          <w:sz w:val="32"/>
          <w:szCs w:val="32"/>
        </w:rPr>
        <w:t>.</w:t>
      </w:r>
      <w:r>
        <w:rPr>
          <w:rFonts w:ascii="仿宋_GB2312" w:hAnsi="仿宋" w:eastAsia="仿宋_GB2312"/>
          <w:color w:val="000000"/>
          <w:sz w:val="32"/>
          <w:szCs w:val="32"/>
        </w:rPr>
        <w:t>86</w:t>
      </w:r>
      <w:r>
        <w:rPr>
          <w:rFonts w:hint="eastAsia" w:ascii="仿宋_GB2312" w:hAnsi="仿宋" w:eastAsia="仿宋_GB2312"/>
          <w:color w:val="000000"/>
          <w:sz w:val="32"/>
          <w:szCs w:val="32"/>
        </w:rPr>
        <w:t>万元,政府性基金预算财政拨款收入34.73万元,事业收入351.79万元,其他收入0.42万元。</w:t>
      </w:r>
      <w:r>
        <w:rPr>
          <w:rFonts w:hint="eastAsia" w:ascii="仿宋_GB2312" w:eastAsia="仿宋_GB2312"/>
          <w:color w:val="000000"/>
          <w:kern w:val="0"/>
          <w:sz w:val="32"/>
          <w:szCs w:val="32"/>
        </w:rPr>
        <w:t>全年决算支出</w:t>
      </w:r>
      <w:r>
        <w:rPr>
          <w:rFonts w:ascii="仿宋_GB2312" w:eastAsia="仿宋_GB2312"/>
          <w:color w:val="000000"/>
          <w:kern w:val="0"/>
          <w:sz w:val="32"/>
          <w:szCs w:val="32"/>
        </w:rPr>
        <w:t>1624</w:t>
      </w:r>
      <w:r>
        <w:rPr>
          <w:rFonts w:hint="eastAsia" w:ascii="仿宋_GB2312" w:eastAsia="仿宋_GB2312"/>
          <w:color w:val="000000"/>
          <w:kern w:val="0"/>
          <w:sz w:val="32"/>
          <w:szCs w:val="32"/>
        </w:rPr>
        <w:t>.</w:t>
      </w:r>
      <w:r>
        <w:rPr>
          <w:rFonts w:ascii="仿宋_GB2312" w:eastAsia="仿宋_GB2312"/>
          <w:color w:val="000000"/>
          <w:kern w:val="0"/>
          <w:sz w:val="32"/>
          <w:szCs w:val="32"/>
        </w:rPr>
        <w:t>23</w:t>
      </w:r>
      <w:r>
        <w:rPr>
          <w:rFonts w:hint="eastAsia" w:ascii="仿宋_GB2312" w:eastAsia="仿宋_GB2312"/>
          <w:color w:val="000000"/>
          <w:kern w:val="0"/>
          <w:sz w:val="32"/>
          <w:szCs w:val="32"/>
        </w:rPr>
        <w:t>万元，其中基本支出</w:t>
      </w:r>
      <w:r>
        <w:rPr>
          <w:rFonts w:ascii="仿宋_GB2312" w:eastAsia="仿宋_GB2312"/>
          <w:color w:val="000000"/>
          <w:kern w:val="0"/>
          <w:sz w:val="32"/>
          <w:szCs w:val="32"/>
        </w:rPr>
        <w:t>24</w:t>
      </w:r>
      <w:r>
        <w:rPr>
          <w:rFonts w:hint="eastAsia" w:ascii="仿宋_GB2312" w:eastAsia="仿宋_GB2312"/>
          <w:color w:val="000000"/>
          <w:kern w:val="0"/>
          <w:sz w:val="32"/>
          <w:szCs w:val="32"/>
        </w:rPr>
        <w:t>.</w:t>
      </w:r>
      <w:r>
        <w:rPr>
          <w:rFonts w:ascii="仿宋_GB2312" w:eastAsia="仿宋_GB2312"/>
          <w:color w:val="000000"/>
          <w:kern w:val="0"/>
          <w:sz w:val="32"/>
          <w:szCs w:val="32"/>
        </w:rPr>
        <w:t>43</w:t>
      </w:r>
      <w:r>
        <w:rPr>
          <w:rFonts w:hint="eastAsia" w:ascii="仿宋_GB2312" w:eastAsia="仿宋_GB2312"/>
          <w:color w:val="000000"/>
          <w:kern w:val="0"/>
          <w:sz w:val="32"/>
          <w:szCs w:val="32"/>
        </w:rPr>
        <w:t>万元，项目支出</w:t>
      </w:r>
      <w:r>
        <w:rPr>
          <w:rFonts w:ascii="仿宋_GB2312" w:eastAsia="仿宋_GB2312"/>
          <w:color w:val="000000"/>
          <w:kern w:val="0"/>
          <w:sz w:val="32"/>
          <w:szCs w:val="32"/>
        </w:rPr>
        <w:t>1599</w:t>
      </w:r>
      <w:r>
        <w:rPr>
          <w:rFonts w:hint="eastAsia" w:ascii="仿宋_GB2312" w:eastAsia="仿宋_GB2312"/>
          <w:color w:val="000000"/>
          <w:kern w:val="0"/>
          <w:sz w:val="32"/>
          <w:szCs w:val="32"/>
        </w:rPr>
        <w:t>.</w:t>
      </w:r>
      <w:r>
        <w:rPr>
          <w:rFonts w:ascii="仿宋_GB2312" w:eastAsia="仿宋_GB2312"/>
          <w:color w:val="000000"/>
          <w:kern w:val="0"/>
          <w:sz w:val="32"/>
          <w:szCs w:val="32"/>
        </w:rPr>
        <w:t>80</w:t>
      </w:r>
      <w:r>
        <w:rPr>
          <w:rFonts w:hint="eastAsia" w:ascii="仿宋_GB2312" w:eastAsia="仿宋_GB2312"/>
          <w:color w:val="000000"/>
          <w:kern w:val="0"/>
          <w:sz w:val="32"/>
          <w:szCs w:val="32"/>
        </w:rPr>
        <w:t>万元，年末结转和结余</w:t>
      </w:r>
      <w:r>
        <w:rPr>
          <w:rFonts w:ascii="仿宋_GB2312" w:eastAsia="仿宋_GB2312"/>
          <w:color w:val="000000"/>
          <w:kern w:val="0"/>
          <w:sz w:val="32"/>
          <w:szCs w:val="32"/>
        </w:rPr>
        <w:t>10</w:t>
      </w:r>
      <w:r>
        <w:rPr>
          <w:rFonts w:hint="eastAsia" w:ascii="仿宋_GB2312" w:eastAsia="仿宋_GB2312"/>
          <w:color w:val="000000"/>
          <w:kern w:val="0"/>
          <w:sz w:val="32"/>
          <w:szCs w:val="32"/>
        </w:rPr>
        <w:t>.</w:t>
      </w:r>
      <w:r>
        <w:rPr>
          <w:rFonts w:ascii="仿宋_GB2312" w:eastAsia="仿宋_GB2312"/>
          <w:color w:val="000000"/>
          <w:kern w:val="0"/>
          <w:sz w:val="32"/>
          <w:szCs w:val="32"/>
        </w:rPr>
        <w:t>2</w:t>
      </w:r>
      <w:r>
        <w:rPr>
          <w:rFonts w:hint="eastAsia" w:ascii="仿宋_GB2312" w:eastAsia="仿宋_GB2312"/>
          <w:color w:val="000000"/>
          <w:kern w:val="0"/>
          <w:sz w:val="32"/>
          <w:szCs w:val="32"/>
        </w:rPr>
        <w:t>8万元。</w:t>
      </w:r>
      <w:bookmarkEnd w:id="0"/>
      <w:r>
        <w:rPr>
          <w:rFonts w:hint="eastAsia" w:ascii="仿宋_GB2312" w:eastAsia="仿宋_GB2312"/>
          <w:color w:val="000000"/>
          <w:kern w:val="0"/>
          <w:sz w:val="32"/>
          <w:szCs w:val="32"/>
        </w:rPr>
        <w:t>全年预算执行率为94.33%。</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2</w:t>
      </w:r>
      <w:r>
        <w:rPr>
          <w:rFonts w:hint="eastAsia" w:ascii="仿宋_GB2312" w:eastAsia="仿宋_GB2312"/>
          <w:b/>
          <w:bCs/>
          <w:color w:val="000000"/>
          <w:kern w:val="0"/>
          <w:sz w:val="32"/>
          <w:szCs w:val="32"/>
        </w:rPr>
        <w:t>）政府采购执行情况</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我园采购管理严格按照财政部门、新区教育和卫</w:t>
      </w:r>
      <w:r>
        <w:rPr>
          <w:rFonts w:hint="eastAsia" w:ascii="仿宋_GB2312" w:eastAsia="仿宋_GB2312"/>
          <w:color w:val="000000"/>
          <w:kern w:val="0"/>
          <w:sz w:val="32"/>
          <w:szCs w:val="32"/>
          <w:lang w:val="en-US" w:eastAsia="zh-CN"/>
        </w:rPr>
        <w:t>生健康</w:t>
      </w:r>
      <w:r>
        <w:rPr>
          <w:rFonts w:hint="eastAsia" w:ascii="仿宋_GB2312" w:eastAsia="仿宋_GB2312"/>
          <w:color w:val="000000"/>
          <w:kern w:val="0"/>
          <w:sz w:val="32"/>
          <w:szCs w:val="32"/>
        </w:rPr>
        <w:t>局等外部规章制度及幼儿园内部管理要求实施政府采购，提高政府采购效率，促进廉政建设，政府采购政策功能的执行和落实情况良好。</w:t>
      </w:r>
      <w:r>
        <w:rPr>
          <w:rFonts w:ascii="仿宋_GB2312" w:eastAsia="仿宋_GB2312"/>
          <w:color w:val="000000"/>
          <w:kern w:val="0"/>
          <w:sz w:val="32"/>
          <w:szCs w:val="32"/>
        </w:rPr>
        <w:t>2020</w:t>
      </w:r>
      <w:r>
        <w:rPr>
          <w:rFonts w:hint="eastAsia" w:ascii="仿宋_GB2312" w:eastAsia="仿宋_GB2312"/>
          <w:color w:val="000000"/>
          <w:kern w:val="0"/>
          <w:sz w:val="32"/>
          <w:szCs w:val="32"/>
        </w:rPr>
        <w:t>年政府采购执行情况如下：</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2020</w:t>
      </w:r>
      <w:r>
        <w:rPr>
          <w:rFonts w:hint="eastAsia" w:ascii="仿宋_GB2312" w:eastAsia="仿宋_GB2312"/>
          <w:color w:val="000000"/>
          <w:kern w:val="0"/>
          <w:sz w:val="32"/>
          <w:szCs w:val="32"/>
        </w:rPr>
        <w:t>年度政府采购计划金额0万元，实际采购支出金额0万元。</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3</w:t>
      </w:r>
      <w:r>
        <w:rPr>
          <w:rFonts w:hint="eastAsia" w:ascii="仿宋_GB2312" w:eastAsia="仿宋_GB2312"/>
          <w:b/>
          <w:bCs/>
          <w:color w:val="000000"/>
          <w:kern w:val="0"/>
          <w:sz w:val="32"/>
          <w:szCs w:val="32"/>
        </w:rPr>
        <w:t>）财务合规性</w:t>
      </w:r>
    </w:p>
    <w:p>
      <w:pPr>
        <w:ind w:firstLine="640" w:firstLineChars="200"/>
        <w:rPr>
          <w:rFonts w:ascii="仿宋_GB2312" w:eastAsia="仿宋_GB2312"/>
          <w:kern w:val="0"/>
          <w:sz w:val="32"/>
          <w:szCs w:val="32"/>
        </w:rPr>
      </w:pPr>
      <w:r>
        <w:rPr>
          <w:rFonts w:hint="eastAsia" w:ascii="仿宋_GB2312" w:eastAsia="仿宋_GB2312"/>
          <w:kern w:val="0"/>
          <w:sz w:val="32"/>
          <w:szCs w:val="32"/>
        </w:rPr>
        <w:t>结合我园内部管理要求及本次绩效自评工作业务自查，我园资金支出规范，资金管理、费用标准、支付严格按照预算批复、业务需求及相关财务制度规定执行，无超范围、超标准支出，不存在截留、挤占、挪用项目资金情况。预算执行规范，按规定履行预算调整报批手续，调整、调剂资金，我园预算调整调剂严格按照规定的程序和审批权限报预算管理员及财政部门审批。会计核算制度执行规范，不存在支出依据不合规、虚列项目支出的情况，重大项目支出经过前期评估论证，未出现超预算、无预算支出，或擅自改变预算支出用途和我园领导班子会议研究决定。</w:t>
      </w:r>
    </w:p>
    <w:p>
      <w:pPr>
        <w:ind w:firstLine="642" w:firstLineChars="200"/>
        <w:rPr>
          <w:rFonts w:ascii="仿宋_GB2312" w:eastAsia="仿宋_GB2312"/>
          <w:b/>
          <w:bCs/>
          <w:color w:val="000000"/>
          <w:kern w:val="0"/>
          <w:sz w:val="32"/>
          <w:szCs w:val="32"/>
        </w:rPr>
      </w:pPr>
      <w:r>
        <w:rPr>
          <w:rFonts w:ascii="仿宋_GB2312" w:eastAsia="仿宋_GB2312"/>
          <w:b/>
          <w:bCs/>
          <w:color w:val="000000"/>
          <w:kern w:val="0"/>
          <w:sz w:val="32"/>
          <w:szCs w:val="32"/>
        </w:rPr>
        <w:t>3.</w:t>
      </w:r>
      <w:r>
        <w:rPr>
          <w:rFonts w:hint="eastAsia" w:ascii="仿宋_GB2312" w:eastAsia="仿宋_GB2312"/>
          <w:b/>
          <w:bCs/>
          <w:color w:val="000000"/>
          <w:kern w:val="0"/>
          <w:sz w:val="32"/>
          <w:szCs w:val="32"/>
        </w:rPr>
        <w:t>预决算信息公开</w:t>
      </w:r>
    </w:p>
    <w:p>
      <w:pPr>
        <w:ind w:firstLine="640" w:firstLineChars="200"/>
        <w:rPr>
          <w:rFonts w:ascii="仿宋_GB2312" w:eastAsia="仿宋_GB2312"/>
          <w:bCs/>
          <w:color w:val="000000"/>
          <w:kern w:val="0"/>
          <w:sz w:val="32"/>
          <w:szCs w:val="32"/>
        </w:rPr>
      </w:pPr>
      <w:r>
        <w:rPr>
          <w:rFonts w:hint="eastAsia" w:ascii="仿宋_GB2312" w:eastAsia="仿宋_GB2312"/>
          <w:bCs/>
          <w:color w:val="000000"/>
          <w:kern w:val="0"/>
          <w:sz w:val="32"/>
          <w:szCs w:val="32"/>
        </w:rPr>
        <w:t>根据</w:t>
      </w:r>
      <w:r>
        <w:rPr>
          <w:rFonts w:hint="eastAsia" w:ascii="仿宋_GB2312" w:eastAsia="仿宋_GB2312"/>
          <w:bCs/>
          <w:color w:val="000000"/>
          <w:kern w:val="0"/>
          <w:sz w:val="32"/>
          <w:szCs w:val="32"/>
          <w:lang w:val="en-US" w:eastAsia="zh-CN"/>
        </w:rPr>
        <w:t>新</w:t>
      </w:r>
      <w:r>
        <w:rPr>
          <w:rFonts w:hint="eastAsia" w:ascii="仿宋_GB2312" w:eastAsia="仿宋_GB2312"/>
          <w:bCs/>
          <w:color w:val="000000"/>
          <w:kern w:val="0"/>
          <w:sz w:val="32"/>
          <w:szCs w:val="32"/>
        </w:rPr>
        <w:t>区教育和卫生健康局关于预算公开要求，</w:t>
      </w:r>
      <w:r>
        <w:rPr>
          <w:rFonts w:hint="eastAsia" w:ascii="仿宋_GB2312" w:eastAsia="仿宋_GB2312"/>
          <w:bCs/>
          <w:color w:val="000000"/>
          <w:kern w:val="0"/>
          <w:sz w:val="32"/>
          <w:szCs w:val="32"/>
          <w:lang w:val="en-US" w:eastAsia="zh-CN"/>
        </w:rPr>
        <w:t>新</w:t>
      </w:r>
      <w:r>
        <w:rPr>
          <w:rFonts w:hint="eastAsia" w:ascii="仿宋_GB2312" w:eastAsia="仿宋_GB2312"/>
          <w:bCs/>
          <w:color w:val="000000"/>
          <w:kern w:val="0"/>
          <w:sz w:val="32"/>
          <w:szCs w:val="32"/>
        </w:rPr>
        <w:t>区教育和卫生健康局</w:t>
      </w:r>
      <w:r>
        <w:rPr>
          <w:rFonts w:ascii="仿宋_GB2312" w:eastAsia="仿宋_GB2312"/>
          <w:bCs/>
          <w:color w:val="000000"/>
          <w:kern w:val="0"/>
          <w:sz w:val="32"/>
          <w:szCs w:val="32"/>
        </w:rPr>
        <w:t>将汇总本部门及所属各单位的预算，按有关要求在</w:t>
      </w:r>
      <w:r>
        <w:rPr>
          <w:rFonts w:hint="eastAsia" w:ascii="仿宋_GB2312" w:eastAsia="仿宋_GB2312"/>
          <w:bCs/>
          <w:color w:val="000000"/>
          <w:kern w:val="0"/>
          <w:sz w:val="32"/>
          <w:szCs w:val="32"/>
        </w:rPr>
        <w:t>“大鹏新区</w:t>
      </w:r>
      <w:r>
        <w:rPr>
          <w:rFonts w:ascii="仿宋_GB2312" w:eastAsia="仿宋_GB2312"/>
          <w:bCs/>
          <w:color w:val="000000"/>
          <w:kern w:val="0"/>
          <w:sz w:val="32"/>
          <w:szCs w:val="32"/>
        </w:rPr>
        <w:t>政府在线</w:t>
      </w:r>
      <w:r>
        <w:rPr>
          <w:rFonts w:hint="eastAsia" w:ascii="仿宋_GB2312" w:eastAsia="仿宋_GB2312"/>
          <w:bCs/>
          <w:color w:val="000000"/>
          <w:kern w:val="0"/>
          <w:sz w:val="32"/>
          <w:szCs w:val="32"/>
        </w:rPr>
        <w:t>”</w:t>
      </w:r>
      <w:r>
        <w:rPr>
          <w:rFonts w:ascii="仿宋_GB2312" w:eastAsia="仿宋_GB2312"/>
          <w:bCs/>
          <w:color w:val="000000"/>
          <w:kern w:val="0"/>
          <w:sz w:val="32"/>
          <w:szCs w:val="32"/>
        </w:rPr>
        <w:t>门户网站进行公开</w:t>
      </w:r>
      <w:r>
        <w:rPr>
          <w:rFonts w:hint="eastAsia" w:ascii="仿宋_GB2312" w:eastAsia="仿宋_GB2312"/>
          <w:bCs/>
          <w:color w:val="000000"/>
          <w:kern w:val="0"/>
          <w:sz w:val="32"/>
          <w:szCs w:val="32"/>
        </w:rPr>
        <w:t>。故我园预决算数据由</w:t>
      </w:r>
      <w:r>
        <w:rPr>
          <w:rFonts w:hint="eastAsia" w:ascii="仿宋_GB2312" w:eastAsia="仿宋_GB2312"/>
          <w:bCs/>
          <w:color w:val="000000"/>
          <w:kern w:val="0"/>
          <w:sz w:val="32"/>
          <w:szCs w:val="32"/>
          <w:lang w:val="en-US" w:eastAsia="zh-CN"/>
        </w:rPr>
        <w:t>新</w:t>
      </w:r>
      <w:r>
        <w:rPr>
          <w:rFonts w:hint="eastAsia" w:ascii="仿宋_GB2312" w:eastAsia="仿宋_GB2312"/>
          <w:bCs/>
          <w:color w:val="000000"/>
          <w:kern w:val="0"/>
          <w:sz w:val="32"/>
          <w:szCs w:val="32"/>
        </w:rPr>
        <w:t>区教育和卫生健康局汇总后统一进行公开公示。</w:t>
      </w:r>
      <w:r>
        <w:rPr>
          <w:rFonts w:hint="eastAsia" w:ascii="仿宋_GB2312" w:eastAsia="仿宋_GB2312"/>
          <w:bCs/>
          <w:color w:val="000000"/>
          <w:kern w:val="0"/>
          <w:sz w:val="32"/>
          <w:szCs w:val="32"/>
          <w:lang w:val="en-US" w:eastAsia="zh-CN"/>
        </w:rPr>
        <w:t>新</w:t>
      </w:r>
      <w:r>
        <w:rPr>
          <w:rFonts w:hint="eastAsia" w:ascii="仿宋_GB2312" w:eastAsia="仿宋_GB2312"/>
          <w:bCs/>
          <w:color w:val="000000"/>
          <w:kern w:val="0"/>
          <w:sz w:val="32"/>
          <w:szCs w:val="32"/>
        </w:rPr>
        <w:t>区教育和卫生健康局已于 2020 年 2月7日通过深圳市大鹏新区政府</w:t>
      </w:r>
      <w:r>
        <w:rPr>
          <w:rFonts w:hint="eastAsia" w:ascii="仿宋_GB2312" w:eastAsia="仿宋_GB2312"/>
          <w:bCs/>
          <w:color w:val="000000"/>
          <w:kern w:val="0"/>
          <w:sz w:val="32"/>
          <w:szCs w:val="32"/>
          <w:lang w:val="en-US" w:eastAsia="zh-CN"/>
        </w:rPr>
        <w:t>在线</w:t>
      </w:r>
      <w:r>
        <w:rPr>
          <w:rFonts w:hint="eastAsia" w:ascii="仿宋_GB2312" w:eastAsia="仿宋_GB2312"/>
          <w:bCs/>
          <w:color w:val="000000"/>
          <w:kern w:val="0"/>
          <w:sz w:val="32"/>
          <w:szCs w:val="32"/>
        </w:rPr>
        <w:t>-“信息公开”-“</w:t>
      </w:r>
      <w:r>
        <w:rPr>
          <w:rFonts w:hint="eastAsia" w:ascii="仿宋_GB2312" w:eastAsia="仿宋_GB2312"/>
          <w:bCs/>
          <w:color w:val="000000"/>
          <w:kern w:val="0"/>
          <w:sz w:val="32"/>
          <w:szCs w:val="32"/>
          <w:lang w:val="en-US" w:eastAsia="zh-CN"/>
        </w:rPr>
        <w:t>新</w:t>
      </w:r>
      <w:r>
        <w:rPr>
          <w:rFonts w:hint="eastAsia" w:ascii="仿宋_GB2312" w:eastAsia="仿宋_GB2312"/>
          <w:bCs/>
          <w:color w:val="000000"/>
          <w:kern w:val="0"/>
          <w:sz w:val="32"/>
          <w:szCs w:val="32"/>
        </w:rPr>
        <w:t>区政府信息公开”-“资金信息”-“部门预决算”栏向社会公开了《</w:t>
      </w:r>
      <w:r>
        <w:rPr>
          <w:rFonts w:hint="eastAsia" w:ascii="仿宋_GB2312" w:eastAsia="仿宋_GB2312"/>
          <w:bCs/>
          <w:color w:val="auto"/>
          <w:kern w:val="0"/>
          <w:sz w:val="32"/>
          <w:szCs w:val="32"/>
          <w:u w:val="none"/>
        </w:rPr>
        <w:t>2020年深圳市大鹏新区教育和卫生健康局部门预</w:t>
      </w:r>
      <w:r>
        <w:rPr>
          <w:rFonts w:hint="eastAsia" w:ascii="仿宋_GB2312" w:eastAsia="仿宋_GB2312"/>
          <w:bCs/>
          <w:color w:val="000000"/>
          <w:kern w:val="0"/>
          <w:sz w:val="32"/>
          <w:szCs w:val="32"/>
        </w:rPr>
        <w:t>算》，2020年决算情况根据</w:t>
      </w:r>
      <w:r>
        <w:rPr>
          <w:rFonts w:hint="eastAsia" w:ascii="仿宋_GB2312" w:eastAsia="仿宋_GB2312"/>
          <w:bCs/>
          <w:color w:val="000000"/>
          <w:kern w:val="0"/>
          <w:sz w:val="32"/>
          <w:szCs w:val="32"/>
          <w:lang w:val="en-US" w:eastAsia="zh-CN"/>
        </w:rPr>
        <w:t>新</w:t>
      </w:r>
      <w:r>
        <w:rPr>
          <w:rFonts w:hint="eastAsia" w:ascii="仿宋_GB2312" w:eastAsia="仿宋_GB2312"/>
          <w:bCs/>
          <w:color w:val="000000"/>
          <w:kern w:val="0"/>
          <w:sz w:val="32"/>
          <w:szCs w:val="32"/>
        </w:rPr>
        <w:t>区教育和卫生健康局相关规定进行公开公示。</w:t>
      </w:r>
    </w:p>
    <w:p>
      <w:pPr>
        <w:ind w:firstLine="642" w:firstLineChars="200"/>
        <w:rPr>
          <w:rFonts w:ascii="仿宋_GB2312" w:eastAsia="仿宋_GB2312"/>
          <w:b/>
          <w:bCs/>
          <w:color w:val="000000"/>
          <w:kern w:val="0"/>
          <w:sz w:val="32"/>
          <w:szCs w:val="32"/>
        </w:rPr>
      </w:pPr>
      <w:r>
        <w:rPr>
          <w:rFonts w:ascii="仿宋_GB2312" w:eastAsia="仿宋_GB2312"/>
          <w:b/>
          <w:bCs/>
          <w:color w:val="000000"/>
          <w:kern w:val="0"/>
          <w:sz w:val="32"/>
          <w:szCs w:val="32"/>
        </w:rPr>
        <w:t>4.</w:t>
      </w:r>
      <w:r>
        <w:rPr>
          <w:rFonts w:hint="eastAsia" w:ascii="仿宋_GB2312" w:eastAsia="仿宋_GB2312"/>
          <w:b/>
          <w:bCs/>
          <w:color w:val="000000"/>
          <w:kern w:val="0"/>
          <w:sz w:val="32"/>
          <w:szCs w:val="32"/>
        </w:rPr>
        <w:t>项目管理</w:t>
      </w:r>
    </w:p>
    <w:p>
      <w:pPr>
        <w:ind w:firstLine="640" w:firstLineChars="200"/>
        <w:rPr>
          <w:rFonts w:ascii="仿宋_GB2312" w:eastAsia="仿宋_GB2312"/>
          <w:bCs/>
          <w:color w:val="000000"/>
          <w:kern w:val="0"/>
          <w:sz w:val="32"/>
          <w:szCs w:val="32"/>
        </w:rPr>
      </w:pPr>
      <w:r>
        <w:rPr>
          <w:rFonts w:hint="eastAsia" w:ascii="仿宋_GB2312" w:eastAsia="仿宋_GB2312"/>
          <w:bCs/>
          <w:color w:val="000000"/>
          <w:kern w:val="0"/>
          <w:sz w:val="32"/>
          <w:szCs w:val="32"/>
        </w:rPr>
        <w:t>2020年我园预算项目包括“幼儿园发展经费”“ 综合管理工作经费”“人才发展专项资金”“编外人员管理经费”等多个项目支出，年初预算金额共计942.78万元，年中调整预算数1697.38万元，我园对以上项目全部纳入预算绩效管理，设置并编报绩效目标。2020年我园项目实际支出共计1599.80万元,我园将根据有关规定和工作安排，以2020年编制的项目支出绩效目标为基础，结合2020年我园预算项目执行情况，认真收集评价基础数据和资料，对相应项目开展支出绩效自评工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园项目支出预算的安排与单位履职相符合，财政资金保障充足有效。项目的设立按规定履行报批程序，申报、批复程序符合相关管理办法，项目的招投标、项目支出、调整及完成验收等规范，项目验收均按规定履行相应手续。项目资金支出监管按我园财务管理规定在会计核算方面进行严格的审核支付管理，每月进行预算执行分析，年中执行预算绩效运行监控，对项目资金使用及绩效目标实现程度实行“双监控”，重点关注执行进度偏慢及绩效目标偏离较大的项目，督促项目负责人采取改进措施，同时常态化对项目进行专项或抽样性检查，及时监控发现问题马上督促整改，项目支出建立了有效的预算资金管理机制且执行情况良好。</w:t>
      </w:r>
    </w:p>
    <w:p>
      <w:pPr>
        <w:ind w:firstLine="642" w:firstLineChars="200"/>
        <w:rPr>
          <w:rFonts w:ascii="仿宋_GB2312" w:eastAsia="仿宋_GB2312"/>
          <w:b/>
          <w:bCs/>
          <w:color w:val="000000"/>
          <w:kern w:val="0"/>
          <w:sz w:val="32"/>
          <w:szCs w:val="32"/>
        </w:rPr>
      </w:pPr>
      <w:r>
        <w:rPr>
          <w:rFonts w:ascii="仿宋_GB2312" w:eastAsia="仿宋_GB2312"/>
          <w:b/>
          <w:bCs/>
          <w:color w:val="000000"/>
          <w:kern w:val="0"/>
          <w:sz w:val="32"/>
          <w:szCs w:val="32"/>
        </w:rPr>
        <w:t>5.</w:t>
      </w:r>
      <w:r>
        <w:rPr>
          <w:rFonts w:hint="eastAsia" w:ascii="仿宋_GB2312" w:eastAsia="仿宋_GB2312"/>
          <w:b/>
          <w:bCs/>
          <w:color w:val="000000"/>
          <w:kern w:val="0"/>
          <w:sz w:val="32"/>
          <w:szCs w:val="32"/>
        </w:rPr>
        <w:t>资产管理</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截至2020年12月31日,我园总资产</w:t>
      </w:r>
      <w:r>
        <w:rPr>
          <w:rFonts w:ascii="仿宋_GB2312" w:eastAsia="仿宋_GB2312"/>
          <w:color w:val="000000"/>
          <w:kern w:val="0"/>
          <w:sz w:val="32"/>
          <w:szCs w:val="32"/>
        </w:rPr>
        <w:t>518</w:t>
      </w:r>
      <w:r>
        <w:rPr>
          <w:rFonts w:hint="eastAsia" w:ascii="仿宋_GB2312" w:eastAsia="仿宋_GB2312"/>
          <w:color w:val="000000"/>
          <w:kern w:val="0"/>
          <w:sz w:val="32"/>
          <w:szCs w:val="32"/>
        </w:rPr>
        <w:t>.</w:t>
      </w:r>
      <w:r>
        <w:rPr>
          <w:rFonts w:ascii="仿宋_GB2312" w:eastAsia="仿宋_GB2312"/>
          <w:color w:val="000000"/>
          <w:kern w:val="0"/>
          <w:sz w:val="32"/>
          <w:szCs w:val="32"/>
        </w:rPr>
        <w:t>82</w:t>
      </w:r>
      <w:r>
        <w:rPr>
          <w:rFonts w:hint="eastAsia" w:ascii="仿宋_GB2312" w:eastAsia="仿宋_GB2312"/>
          <w:color w:val="000000"/>
          <w:kern w:val="0"/>
          <w:sz w:val="32"/>
          <w:szCs w:val="32"/>
        </w:rPr>
        <w:t>万元，其中：流动资产</w:t>
      </w:r>
      <w:r>
        <w:rPr>
          <w:rFonts w:ascii="仿宋_GB2312" w:eastAsia="仿宋_GB2312"/>
          <w:color w:val="000000"/>
          <w:kern w:val="0"/>
          <w:sz w:val="32"/>
          <w:szCs w:val="32"/>
        </w:rPr>
        <w:t>270</w:t>
      </w:r>
      <w:r>
        <w:rPr>
          <w:rFonts w:hint="eastAsia" w:ascii="仿宋_GB2312" w:eastAsia="仿宋_GB2312"/>
          <w:color w:val="000000"/>
          <w:kern w:val="0"/>
          <w:sz w:val="32"/>
          <w:szCs w:val="32"/>
        </w:rPr>
        <w:t>.</w:t>
      </w:r>
      <w:r>
        <w:rPr>
          <w:rFonts w:ascii="仿宋_GB2312" w:eastAsia="仿宋_GB2312"/>
          <w:color w:val="000000"/>
          <w:kern w:val="0"/>
          <w:sz w:val="32"/>
          <w:szCs w:val="32"/>
        </w:rPr>
        <w:t>6</w:t>
      </w:r>
      <w:r>
        <w:rPr>
          <w:rFonts w:hint="eastAsia" w:ascii="仿宋_GB2312" w:eastAsia="仿宋_GB2312"/>
          <w:color w:val="000000"/>
          <w:kern w:val="0"/>
          <w:sz w:val="32"/>
          <w:szCs w:val="32"/>
        </w:rPr>
        <w:t>2万元，非流动资产</w:t>
      </w:r>
      <w:r>
        <w:rPr>
          <w:rFonts w:ascii="仿宋_GB2312" w:eastAsia="仿宋_GB2312"/>
          <w:color w:val="000000"/>
          <w:kern w:val="0"/>
          <w:sz w:val="32"/>
          <w:szCs w:val="32"/>
        </w:rPr>
        <w:t>248</w:t>
      </w:r>
      <w:r>
        <w:rPr>
          <w:rFonts w:hint="eastAsia" w:ascii="仿宋_GB2312" w:eastAsia="仿宋_GB2312"/>
          <w:color w:val="000000"/>
          <w:kern w:val="0"/>
          <w:sz w:val="32"/>
          <w:szCs w:val="32"/>
        </w:rPr>
        <w:t>.</w:t>
      </w:r>
      <w:r>
        <w:rPr>
          <w:rFonts w:ascii="仿宋_GB2312" w:eastAsia="仿宋_GB2312"/>
          <w:color w:val="000000"/>
          <w:kern w:val="0"/>
          <w:sz w:val="32"/>
          <w:szCs w:val="32"/>
        </w:rPr>
        <w:t>2</w:t>
      </w:r>
      <w:r>
        <w:rPr>
          <w:rFonts w:hint="eastAsia" w:ascii="仿宋_GB2312" w:eastAsia="仿宋_GB2312"/>
          <w:color w:val="000000"/>
          <w:kern w:val="0"/>
          <w:sz w:val="32"/>
          <w:szCs w:val="32"/>
        </w:rPr>
        <w:t>1万元。</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园开展不定期清产核资，通过清产核资，全面摸清我园的财产家底及结构状况，做到账账相符，账实相符，有力的保障国有资产的价值和安全完整；加强资产验收、资产储存，相互监督、严格把关，保证账实相符；同时使用固定资产管理系统管理本园资产，实现资产的电子化、数字化、网络化管理和调度利用的快速运转。各部门资产配置效率较高，个别部门共享共用闲置资产，切实盘活了存量资产，提高了资产效率。我园固定资产总额472.99万元，资产全部在用，无闲置资产，固定资产总体使用率达100%。</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6.人员管理</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深圳市大鹏新区大鹏中心幼儿园核定事业编制总数9人，截至2020年12月31日,实有在编人数6人，财政供养人员控制率66.67%。其他人员数60人，编外人员控制率90.90%。</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7.制度管理</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园在财政资金管理、内部财务管理、政府采购方面都建立了较为完善的内部控制制度。目前建立了《深圳市大鹏新区大鹏中心幼儿园采购管理制度》《深圳市大鹏新区大鹏中心幼儿园支出管理暂行办法》《深圳市大鹏新区大鹏中心幼儿园预算管理暂行办法》《深圳市大鹏新区大鹏中心幼儿园资产管理暂行办法》等一系列管理制度，基本涵盖预算管理、收支管理、政府采购管理、资产管理、工程项目管理、合同管理、会议管理等各部门基本业务活动，部门职能履行与预算执行得以保障。</w:t>
      </w:r>
    </w:p>
    <w:p>
      <w:pPr>
        <w:ind w:firstLine="627" w:firstLineChars="196"/>
        <w:rPr>
          <w:rFonts w:ascii="黑体" w:hAnsi="黑体" w:eastAsia="黑体"/>
          <w:sz w:val="32"/>
          <w:szCs w:val="32"/>
        </w:rPr>
      </w:pPr>
      <w:r>
        <w:rPr>
          <w:rFonts w:hint="eastAsia" w:ascii="黑体" w:hAnsi="黑体" w:eastAsia="黑体"/>
          <w:sz w:val="32"/>
          <w:szCs w:val="32"/>
        </w:rPr>
        <w:t>二、部门（单位）主要履职绩效分析</w:t>
      </w:r>
    </w:p>
    <w:p>
      <w:pPr>
        <w:ind w:firstLine="642" w:firstLineChars="200"/>
        <w:rPr>
          <w:rFonts w:ascii="楷体" w:hAnsi="楷体" w:eastAsia="楷体"/>
          <w:b/>
          <w:bCs/>
          <w:sz w:val="32"/>
          <w:szCs w:val="32"/>
        </w:rPr>
      </w:pPr>
      <w:r>
        <w:rPr>
          <w:rFonts w:hint="eastAsia" w:ascii="楷体" w:hAnsi="楷体" w:eastAsia="楷体"/>
          <w:b/>
          <w:bCs/>
          <w:sz w:val="32"/>
          <w:szCs w:val="32"/>
        </w:rPr>
        <w:t>（一）主要履职目标</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在疫情防控的特殊的时期，我园为全面贯彻国家方针政策，全力做好疫情防控工作的同时，顺利安全圆满完成了各项工作，在教科研方面、师资队伍、保</w:t>
      </w:r>
      <w:r>
        <w:rPr>
          <w:rFonts w:hint="eastAsia" w:ascii="仿宋_GB2312" w:eastAsia="仿宋_GB2312"/>
          <w:color w:val="000000"/>
          <w:kern w:val="0"/>
          <w:sz w:val="32"/>
          <w:szCs w:val="32"/>
          <w:lang w:eastAsia="zh-CN"/>
        </w:rPr>
        <w:t>教职工</w:t>
      </w:r>
      <w:r>
        <w:rPr>
          <w:rFonts w:hint="eastAsia" w:ascii="仿宋_GB2312" w:eastAsia="仿宋_GB2312"/>
          <w:color w:val="000000"/>
          <w:kern w:val="0"/>
          <w:sz w:val="32"/>
          <w:szCs w:val="32"/>
        </w:rPr>
        <w:t>作、安全保健、后勤服务和疫情防控等多方面做好履职规划，保障我园各项工作能够保质保量如期完成。</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1.扎实做好疫情防控常态化工作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是保障校园安全卫生。加强管控力量，强化安全意识，严格执行校园封闭式管理，把好入门关，严格入园检测流程。采用设定接送区域、多个出入通道、分班级、分时段错峰等方式组织幼儿入园离园，避免接送人员聚集。按要求做好消杀、晨午检、应急处置等工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二是合理安排一日常规。科学组织疫情期间教育教学活动，合理安排场地，最大限度利用室内外空间组织教学活动，避免幼儿过度聚集。</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三是通过召开线上家长会、录制小视频等多种形式及时向家长宣传幼儿园疫情防控工作要求和防控措施，引导家长把好家庭防控关，指导家长在孩子返园前完成健康码申报等工作，认真配合执行幼儿园日常防疫要求及措施，合力保障孩子生命安全和身体健康。</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2.细化后勤管理，做好安全保障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是严格落实日常安全工作，确保全园师生平安。规范各项安全工作要求，严格规范操作，加强安全教育培训和安全排查。通过安全教育月、安全教育日、安全教育平台、应急疏散演练等形式，让安全教育渗透在幼儿园一日生活中。同时，进一步规范安保工作，完善安保器械，加强安保人员的培训，继续组织“家长护校队”，形成家园社区三位一体的安保力量。</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二是严格做好卫生保健工作。在严格落实疫情期间卫生保健工作的同时，还要重点做好春季夏季传染病的防控工作，食品安全工作。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三是健全规章制度建设，促进科学规范管理。根据上级有关文件要求，进一步梳理完善幼儿园规章制度建设，特别是财务制度，做到依法依规办园。切实做到用制度管权管事管人。同时，合理执行经费预算，受疫情影响，幼儿园经费进一步紧缺，各方面开支做好精打细算，把钱用在刀刃上。同时，积极向上级财政部门争取经费缺口，以保证幼儿园工作的正常运转。</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3.抓好队伍建设，提高专业水平</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是抓师德学习。这是提高师资素质，促进儿童全面、积极、健康成长的根本保障。根据区文件要求本学年度我们将开展师德学习要与教育实践紧密结合，联系实际来分析教师的行为，不断提出师德要求，使师德建设真正落实到教育实践中去。</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二是抓研究性学习。通过线上学习、收看专家直播讲座等形式，接收新的教育理念，了解新的教改信息，线下采用分年组等形式开展各种培训学习。</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三是以</w:t>
      </w:r>
      <w:r>
        <w:rPr>
          <w:rFonts w:hint="default" w:ascii="仿宋_GB2312" w:eastAsia="仿宋_GB2312"/>
          <w:color w:val="000000"/>
          <w:kern w:val="0"/>
          <w:sz w:val="32"/>
          <w:szCs w:val="32"/>
        </w:rPr>
        <w:t>课</w:t>
      </w:r>
      <w:r>
        <w:rPr>
          <w:rFonts w:hint="eastAsia" w:ascii="仿宋_GB2312" w:eastAsia="仿宋_GB2312"/>
          <w:color w:val="000000"/>
          <w:kern w:val="0"/>
          <w:sz w:val="32"/>
          <w:szCs w:val="32"/>
        </w:rPr>
        <w:t>题为载体，促使教师成为研究型教师。本学期我园的区课题</w:t>
      </w:r>
      <w:r>
        <w:rPr>
          <w:rFonts w:hint="eastAsia" w:ascii="仿宋_GB2312" w:eastAsia="仿宋_GB2312"/>
          <w:color w:val="000000"/>
          <w:kern w:val="0"/>
          <w:sz w:val="32"/>
          <w:szCs w:val="32"/>
          <w:lang w:val="en-US" w:eastAsia="zh-Hans"/>
        </w:rPr>
        <w:t>已进入</w:t>
      </w:r>
      <w:r>
        <w:rPr>
          <w:rFonts w:hint="eastAsia" w:ascii="仿宋_GB2312" w:eastAsia="仿宋_GB2312"/>
          <w:color w:val="000000"/>
          <w:kern w:val="0"/>
          <w:sz w:val="32"/>
          <w:szCs w:val="32"/>
        </w:rPr>
        <w:t>总结阶段，各实验班的教师根据前阶段的实验成果，总结经验，撰写教育教学论文，把好的成果在我园和姐妹园展示，共同受益。并以2020年区级、市级课题为载体，继续做好新课题的工作开展。</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四是继续做好园本课程梳理。抓住作为参与园参与龙岗街道中心幼儿园申报的方案课程项目契机，进一步梳理园本课程。构建具有本土资源特色的绿韵课程。</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五是继续做好百园扶百园帮扶工作。特殊时期，各部门要用特殊的方式继续做好“百园扶百园”结对帮扶工作。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4.做好家园联和沟通，形成家园共育。</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为保障校园安全，家园沟通更多的是利用信息和电话沟通。各班要根据班级家长的实际情况，通过录制一些孩子活动的小视频、照片、作品、线上家访等方式做好与家长的沟通和了解，取得家长的配合，疫情期间共同做好各项防控工作和其他的沟通工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5.抓好党团、工会、妇女等工作。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lang w:val="en-US" w:eastAsia="zh-CN"/>
        </w:rPr>
        <w:t>2020</w:t>
      </w:r>
      <w:r>
        <w:rPr>
          <w:rFonts w:hint="eastAsia" w:ascii="仿宋_GB2312" w:eastAsia="仿宋_GB2312"/>
          <w:color w:val="000000"/>
          <w:kern w:val="0"/>
          <w:sz w:val="32"/>
          <w:szCs w:val="32"/>
        </w:rPr>
        <w:t>年是全面建成小康社会目标实现之年，是全面打赢脱贫攻坚战收官之年，是深圳经济特区成立40周年。要充分发挥党支部的战斗堡垒作用，加强学习型党组织建设，积极构筑多元学习平台，定期组织全体党员开展政治理论学习、业余时间网上进行“学习强国”“深圳智慧党建”等个人打卡学习、走出去与优秀党支部交流学习、到红色基地参观学习等，在学习上力争做到时间、内容、方法、检查四个落实。鼓励并要求党员教师重点围绕党性修养和业务成长两方面深入拓展阅读，组织开展党员荐书、换书、评书活动，营造良好阅读氛围，让阅读成为一种习惯，不断提高党员的党性修养。</w:t>
      </w:r>
    </w:p>
    <w:p>
      <w:pPr>
        <w:ind w:firstLine="642" w:firstLineChars="200"/>
        <w:rPr>
          <w:rFonts w:ascii="楷体" w:hAnsi="楷体" w:eastAsia="楷体"/>
          <w:b/>
          <w:bCs/>
          <w:color w:val="000000"/>
          <w:kern w:val="0"/>
          <w:sz w:val="32"/>
          <w:szCs w:val="32"/>
        </w:rPr>
      </w:pPr>
      <w:r>
        <w:rPr>
          <w:rFonts w:hint="eastAsia" w:ascii="楷体" w:hAnsi="楷体" w:eastAsia="楷体"/>
          <w:b/>
          <w:bCs/>
          <w:color w:val="000000"/>
          <w:kern w:val="0"/>
          <w:sz w:val="32"/>
          <w:szCs w:val="32"/>
        </w:rPr>
        <w:t>（二）主要履职情况</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在疫情防控的特殊的时期，我园全面贯彻国家方针政策，全力做好疫情防控工作的同时，继续以《幼儿园工作规程》《幼儿园教育指导纲要》为指导，以全面贯彻落实《3—6岁儿童学习与发展指南》为核心，秉承“走向自然，阳光成长”的办园理念，积极开展教育科研工作，加强教职工队伍建设，努力提高工作成效，不断推进保教质量向纵深发展，努力做“幼有善育”的示范引领。</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1.加强党建工作，切实发挥战斗堡垒作用。</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是坚决维护党中央权威。我园党支部始终把政治建设作为生命线，牢牢把牢正确政治方向，坚定不移向党中央看齐。园班子成员旗帜鲜明讲政治，带头贯彻落实中央各项决策部署，自觉在思想上、政治上、行动上始终与党中央保持高度一致，坚决同不良思想和错误言论作斗争，不断增强“四个意识”、坚定“四个自信”</w:t>
      </w:r>
      <w:r>
        <w:rPr>
          <w:rFonts w:hint="eastAsia" w:ascii="仿宋_GB2312" w:eastAsia="仿宋_GB2312"/>
          <w:color w:val="000000"/>
          <w:kern w:val="0"/>
          <w:sz w:val="32"/>
          <w:szCs w:val="32"/>
          <w:lang w:eastAsia="zh-CN"/>
        </w:rPr>
        <w:t>、做到</w:t>
      </w:r>
      <w:r>
        <w:rPr>
          <w:rFonts w:hint="eastAsia" w:ascii="仿宋_GB2312" w:eastAsia="仿宋_GB2312"/>
          <w:color w:val="000000"/>
          <w:kern w:val="0"/>
          <w:sz w:val="32"/>
          <w:szCs w:val="32"/>
        </w:rPr>
        <w:t>“两个维护”。二是大力弘扬核心价值观。充分利用微信工作群、幼儿园宣传栏、LED大屏等宣传平台和党支部主题党日活动，结合第六届全国文明城市创建、纪律教育学习月活动等重要时间节点，积极开展社会主义核心价值观、中华优秀传统文化等系列宣传，引导党员、职工讲文明、讲担当，不断凝聚实现中国梦的强大正能量。三是把疫情防控常态化作为首要政治任务。成立了以园党支部书记、园长为组长的新冠</w:t>
      </w:r>
      <w:r>
        <w:rPr>
          <w:rFonts w:hint="eastAsia" w:ascii="仿宋_GB2312" w:eastAsia="仿宋_GB2312"/>
          <w:color w:val="000000"/>
          <w:kern w:val="0"/>
          <w:sz w:val="32"/>
          <w:szCs w:val="32"/>
          <w:lang w:val="en-US" w:eastAsia="zh-Hans"/>
        </w:rPr>
        <w:t>肺炎</w:t>
      </w:r>
      <w:r>
        <w:rPr>
          <w:rFonts w:hint="eastAsia" w:ascii="仿宋_GB2312" w:eastAsia="仿宋_GB2312"/>
          <w:color w:val="000000"/>
          <w:kern w:val="0"/>
          <w:sz w:val="32"/>
          <w:szCs w:val="32"/>
        </w:rPr>
        <w:t>疫情防控领导小组，制定完备的防控方案和制度，统筹抓好防控工作。园行政班子、党员同志带头值班，按照上级有关防控文件要求，不折不扣地把疫情防控工作落实到位。四是常态推进政治理论学习。严格落实“三会一课”制度，突出政治教育、党性教育。本年度，共召开支部党员大会8次，党课学习4次。严格落实“第一议题”制度，认真组织学习贯彻党的十九大和十九届二中、三中、四中、五中全会精神、习近平总书记在深圳经济特区建立40周年庆祝大会和视察广东时的重要讲话、重要指示精神等系列重要讲话和重要批示指示精神，以及《习近平谈治国理政》第三卷等重要理论著作，认真组织学习党章、准则、条例等党规党纪和党史，引导党员干部强化理论武装，不断提升运用科学理论指导工作实践的能力和水平。五是不断创新丰富组织生活。开展专题组织生活会2次，主题党日活动12次。</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2.重视教师队伍建设，大力加强师德师风建设。</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是加大园本培训力度。本学期，共进行了5场专家培训、20场园本业务培训、参与培训约506人次，特别是邀请了3次莲花二村幼儿园邓丽霞老师来园指导班级区域设计及数学区材料培训、研讨后，老师们对区域的创设、材料的投放上有了新的认识和思考。二是扎实抓好师德师风建设。组织了2场师德师风专题培训，与教职工签订了《师德师风承诺书》，并在教师节期间，组织举办教师宣誓活动、召开师德师风座谈会、邀请专家来园作师德师风专题讲座。同时，组织全体教职员工重温了《新时代幼儿园教师职业行为十项准则》、《幼儿园教师违反职业道德行为处理办法》等法规文件，并结合深圳市师德师风“负面清单”内容开展自查、互查、排查，坚决杜绝违反师德师风问题发生。此外，把“师德师风建设”、“党风廉政建设”纳入教职工年度考评中，实行“评优”、“评先”一票否决制。</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3.积极开展课题研究，不断发挥辐射示范引领</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是积极开展课题研究。2020年我园共有2个区级课题和1个市级课题得到立项，并顺利开展了开题审议，1个区级课题顺利结题，并被评为了“优秀”等级；本年度，老师们在国家、省、市、区比赛中获奖的论文、教育随笔、课件等共计70余人次。二是积极参加各项比赛。在大鹏新区书画幼儿组比赛中，我园选送的10副作品分别荣获一等奖5名、二等奖3名、三等奖2名，幼儿园荣获“优秀组织奖”。在世界华人幼儿创意美术大赛中，荣获特金奖19名、金奖60名、银奖67名、铜奖8名，幼儿园荣获“世界华人幼儿创意美术教育成果特等奖”。三是积极开展帮扶指导。党员干部带领党员、骨干教师利用线上培训、实地指导、来园跟岗等方式扎实做好市教育局“百园扶百园”3所帮扶园及新区1所帮扶园帮扶指导工作。本年度，分别对4所帮扶园开展了3次线下指导及6次线上送课指导活动，参与帮扶30多人次，充分发挥公办园辐射示范引领作用。</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4.细化后勤管理，做好防控保障。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是强化责任。从疫情开始，我园便成立由园长为组长的疫情防控工作小组，利用全园教职工会、班主任会、行政工作会等形式，及时传达上级关于疫情防控的指示精神，部署相关防控工作，做到部署严密，责任到人。二是健全完善各项防控工作制度。认真制定完善开园准备工作方案、疫情防控应急预案、疫情报告制度、晨检制度、因病缺勤登记及追踪制度、复课证明查验制度、幼儿健康管理制度、环境卫生检查制度、健康教育制度、通风消毒制度等各项疫情防控工作制度，并在开学后严格落实教职员工及幼儿的每日晨（午）检。三是注重摸底排查，详细了解和掌握师生动向。本学期，严格做好疫情监控报告。各班班主任坚持做好健康及动向监测登记，掌握班级孩子身体状况及出行情况，每日跟踪指导，与家长保持密切联系。四是全力保障园内餐饮、生活饮用水安全。疫情时期，我们更加关注孩子的饮食安全，我们认真审核证件，明确责任，签订协议，严格按照食品安全流程进行各种加工、分餐，特别是穿戴好工作衣、帽子、口罩等。严格把好采购、验收、取样、浸泡、清洗、操作、消毒关，确保幼儿园的食堂饮食安全。五是加强防控消毒工作。在上级部门的指导下，做好幼儿园活动室、功能室、公共场所的保洁和消毒防疫工作，并加强校园人群聚集场所的通风换气和公共设施及公共用具的消毒，每日对教室、活动室、会议室、卫生间等公共场所及垃圾桶消毒一次。六是做好各项培训和迎接各项检查。本学期，共组织全园卫生保健教职工培训 5次，保育老师培训 6次，厨房工作人员培训 5次 。户外卫生检查17次，室内卫生检查 18次，厨房卫生检查 18次，上级主管部门检查10次。</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5.扎实安全管理，确保师生平安</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是进一步推进安全教育进课堂工作。上好开学初的“疫情防控暨安全教育第一课”、督促班级每天上好“安全常规教育课”，并确定每周一为专题安全教育时间。每位教师都把疫情防控及安全教育作为本学期安全重点内容，认真组织备课，对幼儿进行安全教育，做到有计划、有</w:t>
      </w:r>
      <w:r>
        <w:rPr>
          <w:rFonts w:hint="eastAsia" w:ascii="仿宋_GB2312" w:eastAsia="仿宋_GB2312"/>
          <w:color w:val="000000"/>
          <w:kern w:val="0"/>
          <w:sz w:val="32"/>
          <w:szCs w:val="32"/>
          <w:lang w:val="en-US" w:eastAsia="zh-Hans"/>
        </w:rPr>
        <w:t>内</w:t>
      </w:r>
      <w:r>
        <w:rPr>
          <w:rFonts w:hint="eastAsia" w:ascii="仿宋_GB2312" w:eastAsia="仿宋_GB2312"/>
          <w:color w:val="000000"/>
          <w:kern w:val="0"/>
          <w:sz w:val="32"/>
          <w:szCs w:val="32"/>
        </w:rPr>
        <w:t>容、有图文记录。二是加强安全隐患排查，本学期，共开展大排查6次，进行安全隐患整改24处。三是加强园所出入管理。我园实行封闭管理，严禁外来人员进入校园，同时在园门口设置测温点，实行登记并凭证放行制度，体温≧37.3度及不佩戴口罩的人员一律不得入内。安全小组并做好幼儿园周边安全隐患的严格排查工作，确保师幼安全。四是严格落实早晚入园、离园的值班制度。因疫情防控要求，家长不得入园，为了保障幼儿入、离园的安全，从开学初，后勤部门便根据入园、离园的疫情防控要求做好值班安排表，在入园门口处、测温处、手部消毒处、楼梯及转角处分别安排人员站位值班，确保每天幼儿入园、离园时的秩序和落实好每一个防控环节。五是召开保安人员专题会议，传达相关疫情防控文件精神和要求，要求每一位保安人员必须按时到岗、严格执行门禁制度、测温登记制度，要求每一位保安人员明确岗位职责、熟悉疫情防控工作流程，守好第一道防线，确保幼儿园疫情防控工作万无一失。六是切实认真开展安全演练工作。本着坚持“安全第一，预防为主”的原则，本学期共开展了2次安全演练活动。</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6．密切家园联系，做好家园共育</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是积极开展家园共育活动。由于家长不能入园，我们积极探索开展“线上家庭教育指导、线上家长会、线上学习培训”等活动，指导家长积极配合做好疫情防控，确保孩子健康平安。本学期，开展了线上家长会7场、线下家长会4场（中班级组及家委会）、线下分批约访70场。二是通过拍摄录制师生入园小视频等方式，让入园环节清晰明了。让家长、孩子通过观看小视频提前对入园的要求和细节清楚把握，从而让开学第一天的入园就井然有序。三是做好家长义工的组织。每天早晚上放学时段，均安排家长义工及党员同志轮流在门口值守，指导家长有序接送孩子，为孩子的安全保驾护航。四是充分发挥公众号、班级群的快速传播优势，及时发布活动美篇等内容，提高家长浏览的兴趣，让家长及时了解幼儿园活动，更好地配合做好工作。</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7.其他工作。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是加强党对工青妇基层组织的领导。指导工会、团支部办好职工之家、开展“党建带团建”等活动，相续开展了“登马峦山秋游活动”、“阳光锻炼一小时”、“阅读悦美阅读分享”等活动，增强了团队凝聚力和战斗力。同时，做好工会主席换届选举工作。因徐秀云老师申请到云山栖幼儿园工作，幼儿园按程序及时做好了换届选举工作。二是依法依规做好财务管理工作，按时足额发放教职工工资及做好全园教职员工的社会保险、公积金的按时、足额缴纳等保障性工作。</w:t>
      </w:r>
    </w:p>
    <w:p>
      <w:pPr>
        <w:ind w:firstLine="642" w:firstLineChars="200"/>
        <w:rPr>
          <w:rFonts w:ascii="仿宋_GB2312" w:eastAsia="仿宋_GB2312"/>
          <w:b/>
          <w:color w:val="000000"/>
          <w:kern w:val="0"/>
          <w:sz w:val="32"/>
          <w:szCs w:val="32"/>
        </w:rPr>
      </w:pPr>
      <w:r>
        <w:rPr>
          <w:rFonts w:hint="eastAsia" w:ascii="楷体" w:hAnsi="楷体" w:eastAsia="楷体"/>
          <w:b/>
          <w:bCs/>
          <w:sz w:val="32"/>
          <w:szCs w:val="32"/>
        </w:rPr>
        <w:t>（</w:t>
      </w:r>
      <w:r>
        <w:rPr>
          <w:rFonts w:hint="eastAsia" w:ascii="仿宋_GB2312" w:eastAsia="仿宋_GB2312"/>
          <w:b/>
          <w:color w:val="000000"/>
          <w:kern w:val="0"/>
          <w:sz w:val="32"/>
          <w:szCs w:val="32"/>
        </w:rPr>
        <w:t>三）部门履职绩效情况。</w:t>
      </w:r>
    </w:p>
    <w:p>
      <w:pPr>
        <w:ind w:firstLine="642" w:firstLineChars="200"/>
        <w:rPr>
          <w:rFonts w:ascii="仿宋_GB2312" w:eastAsia="仿宋_GB2312"/>
          <w:b/>
          <w:color w:val="000000"/>
          <w:kern w:val="0"/>
          <w:sz w:val="32"/>
          <w:szCs w:val="32"/>
        </w:rPr>
      </w:pPr>
      <w:r>
        <w:rPr>
          <w:rFonts w:ascii="仿宋_GB2312" w:eastAsia="仿宋_GB2312"/>
          <w:b/>
          <w:color w:val="000000"/>
          <w:kern w:val="0"/>
          <w:sz w:val="32"/>
          <w:szCs w:val="32"/>
        </w:rPr>
        <w:t xml:space="preserve">1. </w:t>
      </w:r>
      <w:r>
        <w:rPr>
          <w:rFonts w:hint="eastAsia" w:ascii="仿宋_GB2312" w:eastAsia="仿宋_GB2312"/>
          <w:b/>
          <w:color w:val="000000"/>
          <w:kern w:val="0"/>
          <w:sz w:val="32"/>
          <w:szCs w:val="32"/>
        </w:rPr>
        <w:t>经济性</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w:t>
      </w:r>
      <w:r>
        <w:rPr>
          <w:rFonts w:ascii="仿宋_GB2312" w:eastAsia="仿宋_GB2312"/>
          <w:color w:val="000000"/>
          <w:kern w:val="0"/>
          <w:sz w:val="32"/>
          <w:szCs w:val="32"/>
        </w:rPr>
        <w:t>1</w:t>
      </w:r>
      <w:r>
        <w:rPr>
          <w:rFonts w:hint="eastAsia" w:ascii="仿宋_GB2312" w:eastAsia="仿宋_GB2312"/>
          <w:color w:val="000000"/>
          <w:kern w:val="0"/>
          <w:sz w:val="32"/>
          <w:szCs w:val="32"/>
        </w:rPr>
        <w:t>）“三公”经费控制率</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2020年度我园无三公经费预算，全年也无三公经费支出。</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w:t>
      </w:r>
      <w:r>
        <w:rPr>
          <w:rFonts w:ascii="仿宋_GB2312" w:eastAsia="仿宋_GB2312"/>
          <w:b/>
          <w:color w:val="000000"/>
          <w:kern w:val="0"/>
          <w:sz w:val="32"/>
          <w:szCs w:val="32"/>
        </w:rPr>
        <w:t>2</w:t>
      </w:r>
      <w:r>
        <w:rPr>
          <w:rFonts w:hint="eastAsia" w:ascii="仿宋_GB2312" w:eastAsia="仿宋_GB2312"/>
          <w:b/>
          <w:color w:val="000000"/>
          <w:kern w:val="0"/>
          <w:sz w:val="32"/>
          <w:szCs w:val="32"/>
        </w:rPr>
        <w:t>）日常公用经费控制率</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我园</w:t>
      </w:r>
      <w:r>
        <w:rPr>
          <w:rFonts w:ascii="仿宋_GB2312" w:eastAsia="仿宋_GB2312"/>
          <w:color w:val="000000"/>
          <w:kern w:val="0"/>
          <w:sz w:val="32"/>
          <w:szCs w:val="32"/>
        </w:rPr>
        <w:t>2020</w:t>
      </w:r>
      <w:r>
        <w:rPr>
          <w:rFonts w:hint="eastAsia" w:ascii="仿宋_GB2312" w:eastAsia="仿宋_GB2312"/>
          <w:color w:val="000000"/>
          <w:kern w:val="0"/>
          <w:sz w:val="32"/>
          <w:szCs w:val="32"/>
        </w:rPr>
        <w:t>年日常公用经费预算数为30.59万元,调整预算数为23.23万元，决算数为23.23万元，日常公用经费控制率为100</w:t>
      </w:r>
      <w:r>
        <w:rPr>
          <w:rFonts w:ascii="仿宋_GB2312" w:eastAsia="仿宋_GB2312"/>
          <w:color w:val="000000"/>
          <w:kern w:val="0"/>
          <w:sz w:val="32"/>
          <w:szCs w:val="32"/>
        </w:rPr>
        <w:t>%,</w:t>
      </w:r>
      <w:r>
        <w:rPr>
          <w:rFonts w:hint="eastAsia" w:ascii="仿宋_GB2312" w:eastAsia="仿宋_GB2312"/>
          <w:color w:val="000000"/>
          <w:kern w:val="0"/>
          <w:sz w:val="32"/>
          <w:szCs w:val="32"/>
        </w:rPr>
        <w:t>日常公用经费控制情况良好。</w:t>
      </w:r>
    </w:p>
    <w:p>
      <w:pPr>
        <w:ind w:firstLine="642" w:firstLineChars="200"/>
        <w:rPr>
          <w:rFonts w:ascii="仿宋_GB2312" w:eastAsia="仿宋_GB2312"/>
          <w:b/>
          <w:color w:val="000000"/>
          <w:kern w:val="0"/>
          <w:sz w:val="32"/>
          <w:szCs w:val="32"/>
        </w:rPr>
      </w:pPr>
      <w:r>
        <w:rPr>
          <w:rFonts w:ascii="仿宋_GB2312" w:eastAsia="仿宋_GB2312"/>
          <w:b/>
          <w:color w:val="000000"/>
          <w:kern w:val="0"/>
          <w:sz w:val="32"/>
          <w:szCs w:val="32"/>
        </w:rPr>
        <w:t>2.</w:t>
      </w:r>
      <w:r>
        <w:rPr>
          <w:rFonts w:hint="eastAsia" w:ascii="仿宋_GB2312" w:eastAsia="仿宋_GB2312"/>
          <w:b/>
          <w:color w:val="000000"/>
          <w:kern w:val="0"/>
          <w:sz w:val="32"/>
          <w:szCs w:val="32"/>
        </w:rPr>
        <w:t>效率性</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我园</w:t>
      </w:r>
      <w:r>
        <w:rPr>
          <w:rFonts w:ascii="仿宋_GB2312" w:eastAsia="仿宋_GB2312"/>
          <w:color w:val="000000"/>
          <w:kern w:val="0"/>
          <w:sz w:val="32"/>
          <w:szCs w:val="32"/>
        </w:rPr>
        <w:t>2020</w:t>
      </w:r>
      <w:r>
        <w:rPr>
          <w:rFonts w:hint="eastAsia" w:ascii="仿宋_GB2312" w:eastAsia="仿宋_GB2312"/>
          <w:color w:val="000000"/>
          <w:kern w:val="0"/>
          <w:sz w:val="32"/>
          <w:szCs w:val="32"/>
        </w:rPr>
        <w:t>年第一、第二、第三、第四季度的预算执行率分别为17</w:t>
      </w:r>
      <w:r>
        <w:rPr>
          <w:rFonts w:ascii="仿宋_GB2312" w:eastAsia="仿宋_GB2312"/>
          <w:color w:val="000000"/>
          <w:kern w:val="0"/>
          <w:sz w:val="32"/>
          <w:szCs w:val="32"/>
        </w:rPr>
        <w:t>%</w:t>
      </w:r>
      <w:r>
        <w:rPr>
          <w:rFonts w:hint="eastAsia" w:ascii="仿宋_GB2312" w:eastAsia="仿宋_GB2312"/>
          <w:color w:val="000000"/>
          <w:kern w:val="0"/>
          <w:sz w:val="32"/>
          <w:szCs w:val="32"/>
        </w:rPr>
        <w:t>、46</w:t>
      </w:r>
      <w:r>
        <w:rPr>
          <w:rFonts w:ascii="仿宋_GB2312" w:eastAsia="仿宋_GB2312"/>
          <w:color w:val="000000"/>
          <w:kern w:val="0"/>
          <w:sz w:val="32"/>
          <w:szCs w:val="32"/>
        </w:rPr>
        <w:t>%</w:t>
      </w:r>
      <w:r>
        <w:rPr>
          <w:rFonts w:hint="eastAsia" w:ascii="仿宋_GB2312" w:eastAsia="仿宋_GB2312"/>
          <w:color w:val="000000"/>
          <w:kern w:val="0"/>
          <w:sz w:val="32"/>
          <w:szCs w:val="32"/>
        </w:rPr>
        <w:t>、67.4</w:t>
      </w:r>
      <w:r>
        <w:rPr>
          <w:rFonts w:ascii="仿宋_GB2312" w:eastAsia="仿宋_GB2312"/>
          <w:color w:val="000000"/>
          <w:kern w:val="0"/>
          <w:sz w:val="32"/>
          <w:szCs w:val="32"/>
        </w:rPr>
        <w:t>%</w:t>
      </w:r>
      <w:r>
        <w:rPr>
          <w:rFonts w:hint="eastAsia" w:ascii="仿宋_GB2312" w:eastAsia="仿宋_GB2312"/>
          <w:color w:val="000000"/>
          <w:kern w:val="0"/>
          <w:sz w:val="32"/>
          <w:szCs w:val="32"/>
        </w:rPr>
        <w:t>、99.6</w:t>
      </w:r>
      <w:r>
        <w:rPr>
          <w:rFonts w:ascii="仿宋_GB2312" w:eastAsia="仿宋_GB2312"/>
          <w:color w:val="000000"/>
          <w:kern w:val="0"/>
          <w:sz w:val="32"/>
          <w:szCs w:val="32"/>
        </w:rPr>
        <w:t>%</w:t>
      </w:r>
      <w:r>
        <w:rPr>
          <w:rFonts w:hint="eastAsia" w:ascii="仿宋_GB2312" w:eastAsia="仿宋_GB2312"/>
          <w:color w:val="000000"/>
          <w:kern w:val="0"/>
          <w:sz w:val="32"/>
          <w:szCs w:val="32"/>
        </w:rPr>
        <w:t>。主要原因是疫情影响，我园部分项目开展较晚，支出进度未及时跟上。</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3.效果性</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一年来，我园充分发挥财政预算管理职能，认真贯彻落实国家、省、市及新区的预算及相关财政</w:t>
      </w:r>
      <w:r>
        <w:rPr>
          <w:rFonts w:hint="eastAsia" w:ascii="仿宋_GB2312" w:hAnsi="黑体" w:eastAsia="仿宋_GB2312"/>
          <w:sz w:val="32"/>
          <w:szCs w:val="32"/>
        </w:rPr>
        <w:t>、财经法律法规，坚持以预算为前提，严格遵守财务管理、采购管理、项目管理、重大事项决策等制度，科学、合理地安排好各项经费支出，全年日常公用经费、一般管理事务、教学管理事务、重点项目建设和各项公用经费支出得到有力保障。在疫情防控的特殊的时期，大鹏中心幼儿园全面贯彻国家方针政策，全力做好疫情防控工作的同时，顺利安全圆满完成了各项目工作，并在教科研方面收获3项市、区级课题的累累硕果。</w:t>
      </w:r>
      <w:r>
        <w:rPr>
          <w:rFonts w:hint="eastAsia" w:ascii="仿宋_GB2312" w:eastAsia="仿宋_GB2312"/>
          <w:color w:val="000000"/>
          <w:kern w:val="0"/>
          <w:sz w:val="32"/>
          <w:szCs w:val="32"/>
        </w:rPr>
        <w:t>2020年我园共有2个区级课题和1个市级课题得到立项，并顺利开展了开题审议，1个区级课题顺利结题，并被评为了“优秀”等级；本年度，老师们在国家、省、市、</w:t>
      </w:r>
      <w:r>
        <w:rPr>
          <w:rFonts w:hint="eastAsia" w:ascii="仿宋_GB2312" w:eastAsia="仿宋_GB2312"/>
          <w:color w:val="000000"/>
          <w:kern w:val="0"/>
          <w:sz w:val="32"/>
          <w:szCs w:val="32"/>
          <w:lang w:val="en-US" w:eastAsia="zh-CN"/>
        </w:rPr>
        <w:t>新</w:t>
      </w:r>
      <w:r>
        <w:rPr>
          <w:rFonts w:hint="eastAsia" w:ascii="仿宋_GB2312" w:eastAsia="仿宋_GB2312"/>
          <w:color w:val="000000"/>
          <w:kern w:val="0"/>
          <w:sz w:val="32"/>
          <w:szCs w:val="32"/>
        </w:rPr>
        <w:t>区比赛中获奖的论文、教育随笔、课件等共计70余人次。在大鹏新区书画幼儿组比赛中，我园选送的10副作品分别荣获一等奖5名、二等奖3名、三等奖2名，幼儿园荣获“优秀组织奖”。在世界华人幼儿创意美术大赛中，荣获特金奖19名、金奖60名、银奖67名、铜奖8名，幼儿园荣获“世界华人幼儿创意美术教育成果特等奖”。</w:t>
      </w:r>
    </w:p>
    <w:p>
      <w:pPr>
        <w:ind w:firstLine="642" w:firstLineChars="200"/>
        <w:rPr>
          <w:rFonts w:ascii="仿宋_GB2312" w:hAnsi="仿宋" w:eastAsia="仿宋_GB2312"/>
          <w:b/>
          <w:sz w:val="32"/>
          <w:szCs w:val="32"/>
        </w:rPr>
      </w:pPr>
      <w:r>
        <w:rPr>
          <w:rFonts w:hint="eastAsia" w:ascii="仿宋_GB2312" w:hAnsi="仿宋" w:eastAsia="仿宋_GB2312"/>
          <w:b/>
          <w:sz w:val="32"/>
          <w:szCs w:val="32"/>
        </w:rPr>
        <w:t>4.公平性</w:t>
      </w:r>
    </w:p>
    <w:p>
      <w:pPr>
        <w:pStyle w:val="3"/>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我园已通过电话热线、信箱、微信公众号等渠道与群众互动交流、建立意见反映渠道以及群众意见办理回复机制，记录群众的各项咨询投诉问题，做好信访回复工作。</w:t>
      </w:r>
    </w:p>
    <w:p>
      <w:pPr>
        <w:ind w:firstLine="640" w:firstLineChars="200"/>
        <w:rPr>
          <w:rFonts w:ascii="黑体" w:hAnsi="黑体" w:eastAsia="黑体"/>
          <w:bCs/>
          <w:sz w:val="32"/>
          <w:szCs w:val="32"/>
        </w:rPr>
      </w:pPr>
      <w:r>
        <w:rPr>
          <w:rFonts w:hint="eastAsia" w:ascii="黑体" w:hAnsi="黑体" w:eastAsia="黑体"/>
          <w:bCs/>
          <w:sz w:val="32"/>
          <w:szCs w:val="32"/>
        </w:rPr>
        <w:t>三、总体评价和整改措施</w:t>
      </w:r>
    </w:p>
    <w:p>
      <w:pPr>
        <w:ind w:firstLine="642" w:firstLineChars="200"/>
        <w:rPr>
          <w:rFonts w:ascii="楷体" w:hAnsi="楷体" w:eastAsia="楷体"/>
          <w:b/>
          <w:bCs/>
          <w:sz w:val="32"/>
          <w:szCs w:val="32"/>
        </w:rPr>
      </w:pPr>
      <w:r>
        <w:rPr>
          <w:rFonts w:hint="eastAsia" w:ascii="楷体" w:hAnsi="楷体" w:eastAsia="楷体"/>
          <w:b/>
          <w:bCs/>
          <w:sz w:val="32"/>
          <w:szCs w:val="32"/>
        </w:rPr>
        <w:t>（一）预算绩效管理工作主要经验、做法。</w:t>
      </w:r>
    </w:p>
    <w:p>
      <w:pPr>
        <w:ind w:firstLine="640" w:firstLineChars="200"/>
        <w:rPr>
          <w:rFonts w:ascii="仿宋_GB2312" w:hAnsi="仿宋" w:eastAsia="仿宋_GB2312"/>
          <w:bCs/>
          <w:sz w:val="32"/>
          <w:szCs w:val="32"/>
        </w:rPr>
      </w:pPr>
      <w:r>
        <w:rPr>
          <w:rFonts w:ascii="仿宋_GB2312" w:hAnsi="仿宋" w:eastAsia="仿宋_GB2312"/>
          <w:bCs/>
          <w:sz w:val="32"/>
          <w:szCs w:val="32"/>
        </w:rPr>
        <w:t>1.2020</w:t>
      </w:r>
      <w:r>
        <w:rPr>
          <w:rFonts w:hint="eastAsia" w:ascii="仿宋_GB2312" w:hAnsi="仿宋" w:eastAsia="仿宋_GB2312"/>
          <w:bCs/>
          <w:sz w:val="32"/>
          <w:szCs w:val="32"/>
        </w:rPr>
        <w:t>年度我园在预算编制中做到结合部门主要履职目标，依据文件要求，详细</w:t>
      </w:r>
      <w:r>
        <w:rPr>
          <w:rFonts w:hint="eastAsia" w:ascii="仿宋_GB2312" w:hAnsi="仿宋" w:eastAsia="仿宋_GB2312"/>
          <w:bCs/>
          <w:sz w:val="32"/>
          <w:szCs w:val="32"/>
          <w:lang w:val="en-US" w:eastAsia="zh-CN"/>
        </w:rPr>
        <w:t>提</w:t>
      </w:r>
      <w:r>
        <w:rPr>
          <w:rFonts w:hint="eastAsia" w:ascii="仿宋_GB2312" w:hAnsi="仿宋" w:eastAsia="仿宋_GB2312"/>
          <w:bCs/>
          <w:sz w:val="32"/>
          <w:szCs w:val="32"/>
        </w:rPr>
        <w:t>供测算标准，预算项目的执行做到按计划支出，跟进序时进度，预算项目实施规范合理，项目完成接受审计监督，反馈结果及时整改，实现预算绩效管理与预算编制、执行、监督的有机结合。</w:t>
      </w:r>
    </w:p>
    <w:p>
      <w:pPr>
        <w:ind w:firstLine="640" w:firstLineChars="200"/>
        <w:rPr>
          <w:rFonts w:ascii="仿宋_GB2312" w:hAnsi="仿宋" w:eastAsia="仿宋_GB2312"/>
          <w:bCs/>
          <w:sz w:val="32"/>
          <w:szCs w:val="32"/>
        </w:rPr>
      </w:pPr>
      <w:r>
        <w:rPr>
          <w:rFonts w:ascii="仿宋_GB2312" w:hAnsi="仿宋" w:eastAsia="仿宋_GB2312"/>
          <w:bCs/>
          <w:sz w:val="32"/>
          <w:szCs w:val="32"/>
        </w:rPr>
        <w:t>2.</w:t>
      </w:r>
      <w:r>
        <w:rPr>
          <w:rFonts w:hint="eastAsia" w:ascii="仿宋_GB2312" w:hAnsi="仿宋" w:eastAsia="仿宋_GB2312"/>
          <w:bCs/>
          <w:sz w:val="32"/>
          <w:szCs w:val="32"/>
        </w:rPr>
        <w:t>依法依规做好绩效管理的公开工作。年度整体支出绩效评价做到了执行透明和预算支出监督的完整，进一步配合上级要求对部门整体绩效工作的监督工作的力度，我园积极配合上级主管单位政府信息公开工作，按时向社会公开了预决算，保障公民知情权，让财政资金和预算项目置于公众的监督之下，有利于降低行政事业单位廉政风险。</w:t>
      </w:r>
    </w:p>
    <w:p>
      <w:pPr>
        <w:ind w:firstLine="642" w:firstLineChars="200"/>
        <w:rPr>
          <w:rFonts w:ascii="楷体" w:hAnsi="楷体" w:eastAsia="楷体"/>
          <w:b/>
          <w:bCs/>
          <w:sz w:val="32"/>
          <w:szCs w:val="32"/>
        </w:rPr>
      </w:pPr>
      <w:r>
        <w:rPr>
          <w:rFonts w:hint="eastAsia" w:ascii="楷体" w:hAnsi="楷体" w:eastAsia="楷体"/>
          <w:b/>
          <w:bCs/>
          <w:sz w:val="32"/>
          <w:szCs w:val="32"/>
        </w:rPr>
        <w:t>（二）部门整体支出绩效存在问题及改进措施。</w:t>
      </w:r>
    </w:p>
    <w:p>
      <w:pPr>
        <w:ind w:firstLine="642" w:firstLineChars="200"/>
        <w:rPr>
          <w:rFonts w:ascii="仿宋_GB2312" w:hAnsi="仿宋" w:eastAsia="仿宋_GB2312"/>
          <w:b/>
          <w:sz w:val="32"/>
          <w:szCs w:val="32"/>
        </w:rPr>
      </w:pPr>
      <w:r>
        <w:rPr>
          <w:rFonts w:hint="eastAsia" w:ascii="仿宋_GB2312" w:hAnsi="仿宋" w:eastAsia="仿宋_GB2312"/>
          <w:b/>
          <w:sz w:val="32"/>
          <w:szCs w:val="32"/>
        </w:rPr>
        <w:t>1.存在问题</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（1）单位绩效理念有待加强，部分人员对绩效评价工作的认识还不够深入，存在部门项目绩效目标设置存在填报内容不规范、绩效指标清晰、可衡量程度不足的情况。</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（2）2020年度，我园实有在编人数6人，其他人员数60人，编外人员控制率90.90%，远超过5%的控制率。</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（3）2020年度，我园公用经费调整预算数为23.23万元，决算数为23.23万元，日常公用经费控制率为100%，日常公用经费控制良好，但压减力度不足。</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（4）总体执行率偏低。我园2020年第一、第二、第三、第四季度的预算执行率分别为17%、46%、67.4%、99.6%，全年平均预算执行率87.37%。</w:t>
      </w:r>
    </w:p>
    <w:p>
      <w:pPr>
        <w:ind w:firstLine="642" w:firstLineChars="200"/>
        <w:rPr>
          <w:rFonts w:ascii="仿宋_GB2312" w:hAnsi="仿宋" w:eastAsia="仿宋_GB2312"/>
          <w:b/>
          <w:bCs/>
          <w:sz w:val="32"/>
          <w:szCs w:val="32"/>
        </w:rPr>
      </w:pPr>
      <w:r>
        <w:rPr>
          <w:rFonts w:ascii="仿宋_GB2312" w:hAnsi="仿宋" w:eastAsia="仿宋_GB2312"/>
          <w:b/>
          <w:bCs/>
          <w:sz w:val="32"/>
          <w:szCs w:val="32"/>
        </w:rPr>
        <w:t>2.</w:t>
      </w:r>
      <w:r>
        <w:rPr>
          <w:rFonts w:hint="eastAsia" w:ascii="仿宋_GB2312" w:hAnsi="仿宋" w:eastAsia="仿宋_GB2312"/>
          <w:b/>
          <w:bCs/>
          <w:sz w:val="32"/>
          <w:szCs w:val="32"/>
        </w:rPr>
        <w:t>改进措施</w:t>
      </w:r>
    </w:p>
    <w:p>
      <w:pPr>
        <w:ind w:firstLine="640" w:firstLineChars="200"/>
        <w:rPr>
          <w:rFonts w:ascii="仿宋_GB2312" w:hAnsi="黑体" w:eastAsia="仿宋_GB2312"/>
          <w:sz w:val="32"/>
          <w:szCs w:val="32"/>
        </w:rPr>
      </w:pPr>
      <w:r>
        <w:rPr>
          <w:rFonts w:hint="eastAsia" w:ascii="仿宋_GB2312" w:hAnsi="仿宋" w:eastAsia="仿宋_GB2312"/>
          <w:bCs/>
          <w:sz w:val="32"/>
          <w:szCs w:val="32"/>
        </w:rPr>
        <w:t>（1）进一步强化绩效管理思想，提高单位人员的绩效管理业务能力和管理水平，落实</w:t>
      </w:r>
      <w:r>
        <w:rPr>
          <w:rFonts w:hint="eastAsia" w:ascii="仿宋_GB2312" w:hAnsi="黑体" w:eastAsia="仿宋_GB2312"/>
          <w:sz w:val="32"/>
          <w:szCs w:val="32"/>
        </w:rPr>
        <w:t>“</w:t>
      </w:r>
      <w:r>
        <w:rPr>
          <w:rFonts w:ascii="仿宋_GB2312" w:hAnsi="黑体" w:eastAsia="仿宋_GB2312"/>
          <w:sz w:val="32"/>
          <w:szCs w:val="32"/>
        </w:rPr>
        <w:t>谁申请资金、谁设定目标</w:t>
      </w:r>
      <w:r>
        <w:rPr>
          <w:rFonts w:hint="eastAsia" w:ascii="仿宋_GB2312" w:hAnsi="黑体" w:eastAsia="仿宋_GB2312"/>
          <w:sz w:val="32"/>
          <w:szCs w:val="32"/>
        </w:rPr>
        <w:t>”</w:t>
      </w:r>
      <w:r>
        <w:rPr>
          <w:rFonts w:ascii="仿宋_GB2312" w:hAnsi="黑体" w:eastAsia="仿宋_GB2312"/>
          <w:sz w:val="32"/>
          <w:szCs w:val="32"/>
        </w:rPr>
        <w:t>的绩效目标设定原则，</w:t>
      </w:r>
      <w:r>
        <w:rPr>
          <w:rFonts w:hint="eastAsia" w:ascii="仿宋_GB2312" w:hAnsi="黑体" w:eastAsia="仿宋_GB2312"/>
          <w:sz w:val="32"/>
          <w:szCs w:val="32"/>
        </w:rPr>
        <w:t>并结合部门实际</w:t>
      </w:r>
      <w:r>
        <w:rPr>
          <w:rFonts w:ascii="仿宋_GB2312" w:hAnsi="黑体" w:eastAsia="仿宋_GB2312"/>
          <w:sz w:val="32"/>
          <w:szCs w:val="32"/>
        </w:rPr>
        <w:t>设置具有专业特征的预算绩效指标体系</w:t>
      </w:r>
      <w:r>
        <w:rPr>
          <w:rFonts w:hint="eastAsia" w:ascii="仿宋_GB2312" w:hAnsi="黑体" w:eastAsia="仿宋_GB2312"/>
          <w:sz w:val="32"/>
          <w:szCs w:val="32"/>
        </w:rPr>
        <w:t>，保障</w:t>
      </w:r>
      <w:r>
        <w:rPr>
          <w:rFonts w:ascii="仿宋_GB2312" w:hAnsi="黑体" w:eastAsia="仿宋_GB2312"/>
          <w:sz w:val="32"/>
          <w:szCs w:val="32"/>
        </w:rPr>
        <w:t>绩效目标指向明确、可细化量化、合理可行，并与计划期内的任务数相对应，与预算投资额相匹配。</w:t>
      </w:r>
    </w:p>
    <w:p>
      <w:pPr>
        <w:ind w:firstLine="480" w:firstLineChars="150"/>
        <w:rPr>
          <w:rFonts w:ascii="仿宋_GB2312" w:hAnsi="仿宋" w:eastAsia="仿宋_GB2312"/>
          <w:bCs/>
          <w:sz w:val="32"/>
          <w:szCs w:val="32"/>
        </w:rPr>
      </w:pPr>
      <w:r>
        <w:rPr>
          <w:rFonts w:hint="eastAsia" w:ascii="仿宋_GB2312" w:hAnsi="仿宋" w:eastAsia="仿宋_GB2312"/>
          <w:bCs/>
          <w:sz w:val="32"/>
          <w:szCs w:val="32"/>
        </w:rPr>
        <w:t>（2）进一步加强编外人员的用工管理，规范录用程序，选定专人负责编外用工事务，聘用编外人员必须提出书面申请，并由园领导会议研究决定，并上报新区教育和卫</w:t>
      </w:r>
      <w:r>
        <w:rPr>
          <w:rFonts w:hint="eastAsia" w:ascii="仿宋_GB2312" w:hAnsi="仿宋" w:eastAsia="仿宋_GB2312"/>
          <w:bCs/>
          <w:sz w:val="32"/>
          <w:szCs w:val="32"/>
          <w:lang w:val="en-US" w:eastAsia="zh-CN"/>
        </w:rPr>
        <w:t>生</w:t>
      </w:r>
      <w:r>
        <w:rPr>
          <w:rFonts w:hint="eastAsia" w:ascii="仿宋_GB2312" w:hAnsi="仿宋" w:eastAsia="仿宋_GB2312"/>
          <w:bCs/>
          <w:sz w:val="32"/>
          <w:szCs w:val="32"/>
        </w:rPr>
        <w:t>健</w:t>
      </w:r>
      <w:r>
        <w:rPr>
          <w:rFonts w:hint="eastAsia" w:ascii="仿宋_GB2312" w:hAnsi="仿宋" w:eastAsia="仿宋_GB2312"/>
          <w:bCs/>
          <w:sz w:val="32"/>
          <w:szCs w:val="32"/>
          <w:lang w:val="en-US" w:eastAsia="zh-CN"/>
        </w:rPr>
        <w:t>康</w:t>
      </w:r>
      <w:r>
        <w:rPr>
          <w:rFonts w:hint="eastAsia" w:ascii="仿宋_GB2312" w:hAnsi="仿宋" w:eastAsia="仿宋_GB2312"/>
          <w:bCs/>
          <w:sz w:val="32"/>
          <w:szCs w:val="32"/>
        </w:rPr>
        <w:t>局、</w:t>
      </w:r>
      <w:r>
        <w:rPr>
          <w:rFonts w:hint="eastAsia" w:ascii="仿宋_GB2312" w:hAnsi="仿宋" w:eastAsia="仿宋_GB2312"/>
          <w:bCs/>
          <w:sz w:val="32"/>
          <w:szCs w:val="32"/>
          <w:lang w:val="en-US" w:eastAsia="zh-CN"/>
        </w:rPr>
        <w:t>新</w:t>
      </w:r>
      <w:r>
        <w:rPr>
          <w:rFonts w:hint="eastAsia" w:ascii="仿宋_GB2312" w:hAnsi="仿宋" w:eastAsia="仿宋_GB2312"/>
          <w:bCs/>
          <w:sz w:val="32"/>
          <w:szCs w:val="32"/>
        </w:rPr>
        <w:t>区人事局审批同意。</w:t>
      </w:r>
    </w:p>
    <w:p>
      <w:pPr>
        <w:ind w:firstLine="480" w:firstLineChars="150"/>
        <w:rPr>
          <w:rFonts w:ascii="仿宋_GB2312" w:hAnsi="仿宋" w:eastAsia="仿宋_GB2312"/>
          <w:bCs/>
          <w:sz w:val="32"/>
          <w:szCs w:val="32"/>
        </w:rPr>
      </w:pPr>
      <w:r>
        <w:rPr>
          <w:rFonts w:hint="eastAsia" w:ascii="仿宋_GB2312" w:hAnsi="仿宋" w:eastAsia="仿宋_GB2312"/>
          <w:bCs/>
          <w:sz w:val="32"/>
          <w:szCs w:val="32"/>
        </w:rPr>
        <w:t>（3）坚持以收定支，落实过“紧”日子要求。</w:t>
      </w:r>
    </w:p>
    <w:p>
      <w:pPr>
        <w:ind w:firstLine="480" w:firstLineChars="150"/>
        <w:rPr>
          <w:rFonts w:ascii="仿宋_GB2312" w:hAnsi="仿宋" w:eastAsia="仿宋_GB2312"/>
          <w:bCs/>
          <w:sz w:val="32"/>
          <w:szCs w:val="32"/>
        </w:rPr>
      </w:pPr>
      <w:r>
        <w:rPr>
          <w:rFonts w:hint="eastAsia" w:ascii="仿宋_GB2312" w:hAnsi="仿宋" w:eastAsia="仿宋_GB2312"/>
          <w:bCs/>
          <w:sz w:val="32"/>
          <w:szCs w:val="32"/>
        </w:rPr>
        <w:t>一是坚持以收定支，收入预算实事求是、合理预测，审慎确定收入预期目标，支出预算坚持有多少钱办多少事，根据财政收入严控支出增幅，杜绝超越财力安排支出。二是要进一步压减一般性支出，对于非刚性、非重点项目支出要可压尽压、应压尽压，对于重点支出，也要按照从严从紧、能省则省的原则审核安排。</w:t>
      </w:r>
    </w:p>
    <w:p>
      <w:pPr>
        <w:ind w:firstLine="640" w:firstLineChars="200"/>
        <w:rPr>
          <w:rFonts w:ascii="仿宋_GB2312" w:hAnsi="黑体" w:eastAsia="仿宋_GB2312"/>
          <w:sz w:val="32"/>
          <w:szCs w:val="32"/>
        </w:rPr>
      </w:pPr>
      <w:r>
        <w:rPr>
          <w:rFonts w:hint="eastAsia" w:ascii="仿宋_GB2312" w:hAnsi="仿宋" w:eastAsia="仿宋_GB2312"/>
          <w:bCs/>
          <w:sz w:val="32"/>
          <w:szCs w:val="32"/>
        </w:rPr>
        <w:t>（4）</w:t>
      </w:r>
      <w:r>
        <w:rPr>
          <w:rFonts w:hint="eastAsia" w:ascii="仿宋_GB2312" w:hAnsi="黑体" w:eastAsia="仿宋_GB2312"/>
          <w:sz w:val="32"/>
          <w:szCs w:val="32"/>
        </w:rPr>
        <w:t>进一步加强预算</w:t>
      </w:r>
      <w:r>
        <w:rPr>
          <w:rFonts w:hint="default" w:ascii="仿宋_GB2312" w:hAnsi="黑体" w:eastAsia="仿宋_GB2312"/>
          <w:sz w:val="32"/>
          <w:szCs w:val="32"/>
        </w:rPr>
        <w:t>绩</w:t>
      </w:r>
      <w:r>
        <w:rPr>
          <w:rFonts w:hint="eastAsia" w:ascii="仿宋_GB2312" w:hAnsi="黑体" w:eastAsia="仿宋_GB2312"/>
          <w:sz w:val="32"/>
          <w:szCs w:val="32"/>
        </w:rPr>
        <w:t>效运行监控，及时纠偏。</w:t>
      </w:r>
    </w:p>
    <w:p>
      <w:pPr>
        <w:ind w:firstLine="640" w:firstLineChars="200"/>
        <w:rPr>
          <w:rFonts w:ascii="仿宋_GB2312" w:hAnsi="黑体" w:eastAsia="仿宋_GB2312"/>
          <w:sz w:val="32"/>
          <w:szCs w:val="32"/>
        </w:rPr>
      </w:pPr>
      <w:r>
        <w:rPr>
          <w:rFonts w:hint="eastAsia" w:ascii="仿宋_GB2312" w:hAnsi="黑体" w:eastAsia="仿宋_GB2312"/>
          <w:sz w:val="32"/>
          <w:szCs w:val="32"/>
        </w:rPr>
        <w:t>进一步加强对财政资金使用的事前、事中和事后全流程监管，实时掌控预算项目资金支出进度及绩效目标完成情况，一旦发生偏离及时采取应对措施。规范财政资金使用和管理，全面梳理重点项目和重点支出，抓好支出进度，打好提前量，确保以后工作中支出进度达到任务要求。</w:t>
      </w:r>
    </w:p>
    <w:p>
      <w:pPr>
        <w:ind w:firstLine="642" w:firstLineChars="200"/>
        <w:rPr>
          <w:rFonts w:ascii="楷体" w:hAnsi="楷体" w:eastAsia="楷体"/>
          <w:b/>
          <w:bCs/>
          <w:sz w:val="32"/>
          <w:szCs w:val="32"/>
        </w:rPr>
      </w:pPr>
      <w:r>
        <w:rPr>
          <w:rFonts w:hint="eastAsia" w:ascii="楷体" w:hAnsi="楷体" w:eastAsia="楷体"/>
          <w:b/>
          <w:bCs/>
          <w:sz w:val="32"/>
          <w:szCs w:val="32"/>
        </w:rPr>
        <w:t>（三）后续工作计划、相关建议等。</w:t>
      </w:r>
    </w:p>
    <w:p>
      <w:pPr>
        <w:ind w:firstLine="640" w:firstLineChars="200"/>
        <w:rPr>
          <w:rFonts w:ascii="仿宋_GB2312" w:hAnsi="仿宋" w:eastAsia="仿宋_GB2312"/>
          <w:bCs/>
          <w:sz w:val="32"/>
          <w:szCs w:val="32"/>
        </w:rPr>
      </w:pPr>
      <w:r>
        <w:rPr>
          <w:rFonts w:ascii="仿宋_GB2312" w:hAnsi="仿宋" w:eastAsia="仿宋_GB2312"/>
          <w:bCs/>
          <w:sz w:val="32"/>
          <w:szCs w:val="32"/>
        </w:rPr>
        <w:t>1.</w:t>
      </w:r>
      <w:r>
        <w:rPr>
          <w:rFonts w:hint="eastAsia" w:ascii="仿宋_GB2312" w:hAnsi="仿宋" w:eastAsia="仿宋_GB2312"/>
          <w:bCs/>
          <w:sz w:val="32"/>
          <w:szCs w:val="32"/>
        </w:rPr>
        <w:t>加强预算绩效目标管理工作。明确预算项目绩效目标编制要求，分类别建立科学合理、细化量化、可比可测、可动态调整项目预算绩效指标体系，突出结果导向</w:t>
      </w:r>
      <w:r>
        <w:rPr>
          <w:rFonts w:ascii="仿宋_GB2312" w:hAnsi="仿宋" w:eastAsia="仿宋_GB2312"/>
          <w:bCs/>
          <w:sz w:val="32"/>
          <w:szCs w:val="32"/>
        </w:rPr>
        <w:t>,</w:t>
      </w:r>
      <w:r>
        <w:rPr>
          <w:rFonts w:hint="eastAsia" w:ascii="仿宋_GB2312" w:hAnsi="仿宋" w:eastAsia="仿宋_GB2312"/>
          <w:bCs/>
          <w:sz w:val="32"/>
          <w:szCs w:val="32"/>
        </w:rPr>
        <w:t>重点考核实绩。实施预算执行进度及目标“双监控”，保障预算项目资金支出进度及绩效目标完成情况均能实时掌控，一旦发生偏离可及时采取应对措施，保障预算项目执行有效。</w:t>
      </w:r>
    </w:p>
    <w:p>
      <w:pPr>
        <w:ind w:firstLine="640" w:firstLineChars="200"/>
        <w:rPr>
          <w:rFonts w:ascii="仿宋_GB2312" w:hAnsi="仿宋" w:eastAsia="仿宋_GB2312"/>
          <w:bCs/>
          <w:sz w:val="32"/>
          <w:szCs w:val="32"/>
        </w:rPr>
      </w:pPr>
      <w:r>
        <w:rPr>
          <w:rFonts w:ascii="仿宋_GB2312" w:hAnsi="仿宋" w:eastAsia="仿宋_GB2312"/>
          <w:bCs/>
          <w:sz w:val="32"/>
          <w:szCs w:val="32"/>
        </w:rPr>
        <w:t>2.</w:t>
      </w:r>
      <w:r>
        <w:rPr>
          <w:rFonts w:hint="eastAsia" w:ascii="仿宋_GB2312" w:hAnsi="仿宋" w:eastAsia="仿宋_GB2312"/>
          <w:bCs/>
          <w:sz w:val="32"/>
          <w:szCs w:val="32"/>
        </w:rPr>
        <w:t>继续完善预算绩效管理相关工作制度，形成绩效管理手册或者实施细则等可操作的指引文件，借助第三方专业机构力量，贯彻落实全面预算绩效管理工作，建立全过程预算绩效管理链条，将事前绩效评估、预算绩效目标管理、监控、评价以及应用各环节紧密贯通。</w:t>
      </w:r>
    </w:p>
    <w:p>
      <w:pPr>
        <w:ind w:firstLine="800" w:firstLineChars="250"/>
        <w:rPr>
          <w:rFonts w:ascii="黑体" w:hAnsi="黑体" w:eastAsia="黑体"/>
          <w:sz w:val="32"/>
          <w:szCs w:val="32"/>
        </w:rPr>
      </w:pPr>
      <w:r>
        <w:rPr>
          <w:rFonts w:hint="eastAsia" w:ascii="黑体" w:hAnsi="黑体" w:eastAsia="黑体"/>
          <w:sz w:val="32"/>
          <w:szCs w:val="32"/>
        </w:rPr>
        <w:t>四、部门整体支出绩效评价指标评分情况</w:t>
      </w:r>
    </w:p>
    <w:p>
      <w:pPr>
        <w:ind w:firstLine="640" w:firstLineChars="200"/>
        <w:rPr>
          <w:rFonts w:ascii="仿宋_GB2312" w:hAnsi="Calibri" w:eastAsia="仿宋_GB2312"/>
          <w:sz w:val="32"/>
          <w:szCs w:val="32"/>
        </w:rPr>
      </w:pPr>
      <w:r>
        <w:rPr>
          <w:rFonts w:hint="eastAsia" w:ascii="仿宋_GB2312" w:hAnsi="Calibri" w:eastAsia="仿宋_GB2312"/>
          <w:sz w:val="32"/>
          <w:szCs w:val="32"/>
        </w:rPr>
        <w:t>我园参照《部门整体支出绩效评价共性指标体系框架（</w:t>
      </w:r>
      <w:r>
        <w:rPr>
          <w:rFonts w:ascii="仿宋_GB2312" w:hAnsi="Calibri" w:eastAsia="仿宋_GB2312"/>
          <w:sz w:val="32"/>
          <w:szCs w:val="32"/>
        </w:rPr>
        <w:t>2020</w:t>
      </w:r>
      <w:r>
        <w:rPr>
          <w:rFonts w:hint="eastAsia" w:ascii="仿宋_GB2312" w:hAnsi="Calibri" w:eastAsia="仿宋_GB2312"/>
          <w:sz w:val="32"/>
          <w:szCs w:val="32"/>
        </w:rPr>
        <w:t>年度）》进行自评，总体得分96.24分，具体得分情况如下。</w:t>
      </w:r>
    </w:p>
    <w:p>
      <w:pPr>
        <w:ind w:firstLine="800" w:firstLineChars="250"/>
        <w:rPr>
          <w:rFonts w:ascii="仿宋_GB2312" w:eastAsia="仿宋_GB2312"/>
          <w:sz w:val="32"/>
          <w:szCs w:val="32"/>
        </w:rPr>
        <w:sectPr>
          <w:pgSz w:w="11906" w:h="16838"/>
          <w:pgMar w:top="1440" w:right="1800" w:bottom="1440" w:left="1800" w:header="851" w:footer="992" w:gutter="0"/>
          <w:cols w:space="425" w:num="1"/>
          <w:docGrid w:type="lines" w:linePitch="312" w:charSpace="0"/>
        </w:sectPr>
      </w:pPr>
    </w:p>
    <w:p>
      <w:pPr>
        <w:tabs>
          <w:tab w:val="center" w:pos="6979"/>
        </w:tabs>
        <w:spacing w:line="620" w:lineRule="exact"/>
        <w:jc w:val="left"/>
        <w:rPr>
          <w:rFonts w:ascii="仿宋_GB2312" w:eastAsia="仿宋_GB2312"/>
          <w:sz w:val="28"/>
          <w:szCs w:val="28"/>
        </w:rPr>
      </w:pPr>
      <w:r>
        <w:rPr>
          <w:rFonts w:hint="eastAsia" w:ascii="仿宋_GB2312" w:eastAsia="仿宋_GB2312" w:cs="仿宋_GB2312"/>
          <w:sz w:val="28"/>
          <w:szCs w:val="28"/>
        </w:rPr>
        <w:t>附件：</w:t>
      </w:r>
    </w:p>
    <w:p>
      <w:pPr>
        <w:tabs>
          <w:tab w:val="center" w:pos="6979"/>
        </w:tabs>
        <w:spacing w:line="620" w:lineRule="exact"/>
        <w:jc w:val="center"/>
        <w:rPr>
          <w:sz w:val="28"/>
          <w:szCs w:val="28"/>
        </w:rPr>
      </w:pPr>
      <w:r>
        <w:rPr>
          <w:rFonts w:hint="eastAsia" w:ascii="方正小标宋简体" w:eastAsia="方正小标宋简体" w:cs="方正小标宋简体"/>
          <w:sz w:val="30"/>
          <w:szCs w:val="30"/>
        </w:rPr>
        <w:t>部门整体支出绩效评价共性指标体系框架（</w:t>
      </w:r>
      <w:r>
        <w:rPr>
          <w:rFonts w:ascii="方正小标宋简体" w:eastAsia="方正小标宋简体" w:cs="方正小标宋简体"/>
          <w:sz w:val="30"/>
          <w:szCs w:val="30"/>
        </w:rPr>
        <w:t>20</w:t>
      </w:r>
      <w:r>
        <w:rPr>
          <w:rFonts w:hint="eastAsia" w:ascii="方正小标宋简体" w:eastAsia="方正小标宋简体" w:cs="方正小标宋简体"/>
          <w:sz w:val="30"/>
          <w:szCs w:val="30"/>
        </w:rPr>
        <w:t>20年修订）</w:t>
      </w:r>
    </w:p>
    <w:tbl>
      <w:tblPr>
        <w:tblStyle w:val="9"/>
        <w:tblW w:w="15163" w:type="dxa"/>
        <w:tblInd w:w="0" w:type="dxa"/>
        <w:tblLayout w:type="fixed"/>
        <w:tblCellMar>
          <w:top w:w="0" w:type="dxa"/>
          <w:left w:w="108" w:type="dxa"/>
          <w:bottom w:w="0" w:type="dxa"/>
          <w:right w:w="108" w:type="dxa"/>
        </w:tblCellMar>
      </w:tblPr>
      <w:tblGrid>
        <w:gridCol w:w="577"/>
        <w:gridCol w:w="567"/>
        <w:gridCol w:w="567"/>
        <w:gridCol w:w="567"/>
        <w:gridCol w:w="851"/>
        <w:gridCol w:w="567"/>
        <w:gridCol w:w="2536"/>
        <w:gridCol w:w="5812"/>
        <w:gridCol w:w="822"/>
        <w:gridCol w:w="2297"/>
      </w:tblGrid>
      <w:tr>
        <w:tblPrEx>
          <w:tblCellMar>
            <w:top w:w="0" w:type="dxa"/>
            <w:left w:w="108" w:type="dxa"/>
            <w:bottom w:w="0" w:type="dxa"/>
            <w:right w:w="108" w:type="dxa"/>
          </w:tblCellMar>
        </w:tblPrEx>
        <w:trPr>
          <w:trHeight w:val="180" w:hRule="atLeast"/>
          <w:tblHeader/>
        </w:trPr>
        <w:tc>
          <w:tcPr>
            <w:tcW w:w="3696" w:type="dxa"/>
            <w:gridSpan w:val="6"/>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评价指标</w:t>
            </w:r>
          </w:p>
        </w:tc>
        <w:tc>
          <w:tcPr>
            <w:tcW w:w="2536"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指标说明</w:t>
            </w:r>
          </w:p>
        </w:tc>
        <w:tc>
          <w:tcPr>
            <w:tcW w:w="5812"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参考评分标准</w:t>
            </w:r>
          </w:p>
        </w:tc>
        <w:tc>
          <w:tcPr>
            <w:tcW w:w="822"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得分情况</w:t>
            </w:r>
          </w:p>
        </w:tc>
        <w:tc>
          <w:tcPr>
            <w:tcW w:w="2297"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扣分</w:t>
            </w:r>
            <w:r>
              <w:rPr>
                <w:rFonts w:hint="eastAsia" w:ascii="黑体" w:hAnsi="黑体" w:eastAsia="黑体"/>
                <w:kern w:val="0"/>
              </w:rPr>
              <w:t>情况及整改情况说明</w:t>
            </w:r>
          </w:p>
        </w:tc>
      </w:tr>
      <w:tr>
        <w:tblPrEx>
          <w:tblCellMar>
            <w:top w:w="0" w:type="dxa"/>
            <w:left w:w="108" w:type="dxa"/>
            <w:bottom w:w="0" w:type="dxa"/>
            <w:right w:w="108" w:type="dxa"/>
          </w:tblCellMar>
        </w:tblPrEx>
        <w:trPr>
          <w:trHeight w:val="463" w:hRule="atLeast"/>
          <w:tblHeader/>
        </w:trPr>
        <w:tc>
          <w:tcPr>
            <w:tcW w:w="1144" w:type="dxa"/>
            <w:gridSpan w:val="2"/>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一级指标</w:t>
            </w:r>
          </w:p>
        </w:tc>
        <w:tc>
          <w:tcPr>
            <w:tcW w:w="1134"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二级指标</w:t>
            </w:r>
          </w:p>
        </w:tc>
        <w:tc>
          <w:tcPr>
            <w:tcW w:w="1418"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三级指标</w:t>
            </w:r>
          </w:p>
        </w:tc>
        <w:tc>
          <w:tcPr>
            <w:tcW w:w="2536"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5812"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822"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c>
          <w:tcPr>
            <w:tcW w:w="2297"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r>
      <w:tr>
        <w:tblPrEx>
          <w:tblCellMar>
            <w:top w:w="0" w:type="dxa"/>
            <w:left w:w="108" w:type="dxa"/>
            <w:bottom w:w="0" w:type="dxa"/>
            <w:right w:w="108" w:type="dxa"/>
          </w:tblCellMar>
        </w:tblPrEx>
        <w:trPr>
          <w:trHeight w:val="774" w:hRule="atLeast"/>
          <w:tblHeader/>
        </w:trPr>
        <w:tc>
          <w:tcPr>
            <w:tcW w:w="577" w:type="dxa"/>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851"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2536"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5812"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822"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c>
          <w:tcPr>
            <w:tcW w:w="2297"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r>
      <w:tr>
        <w:tblPrEx>
          <w:tblCellMar>
            <w:top w:w="0" w:type="dxa"/>
            <w:left w:w="108" w:type="dxa"/>
            <w:bottom w:w="0" w:type="dxa"/>
            <w:right w:w="108" w:type="dxa"/>
          </w:tblCellMar>
        </w:tblPrEx>
        <w:trPr>
          <w:trHeight w:val="3741"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部门决策</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25</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预算编制</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10</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预算编制合理性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部门（单位）预算的合理性，即是否符合本部门职责、是否符合</w:t>
            </w:r>
            <w:r>
              <w:rPr>
                <w:rFonts w:hint="eastAsia" w:ascii="宋体" w:hAnsi="宋体" w:cs="宋体"/>
                <w:kern w:val="0"/>
                <w:lang w:eastAsia="zh-CN"/>
              </w:rPr>
              <w:t>新区党工委、管委会</w:t>
            </w:r>
            <w:r>
              <w:rPr>
                <w:rFonts w:hint="eastAsia" w:ascii="宋体" w:hAnsi="宋体" w:cs="宋体"/>
                <w:kern w:val="0"/>
              </w:rPr>
              <w:t>的方针政策和工作要求，资金有无根据项目的轻重缓急进行分配。</w:t>
            </w:r>
          </w:p>
        </w:tc>
        <w:tc>
          <w:tcPr>
            <w:tcW w:w="5812"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部门预算编制、分配符合本部门职责、符合</w:t>
            </w:r>
            <w:r>
              <w:rPr>
                <w:rFonts w:hint="eastAsia" w:ascii="宋体" w:hAnsi="宋体" w:cs="宋体"/>
                <w:kern w:val="0"/>
                <w:lang w:eastAsia="zh-CN"/>
              </w:rPr>
              <w:t>新区党工委、管委会</w:t>
            </w:r>
            <w:r>
              <w:rPr>
                <w:rFonts w:hint="eastAsia" w:ascii="宋体" w:hAnsi="宋体" w:cs="宋体"/>
                <w:kern w:val="0"/>
              </w:rPr>
              <w:t>方针政策和工作要求（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部门预算资金能根据年度工作重点，在不同项目、不同用途之间合理分配（</w:t>
            </w:r>
            <w:r>
              <w:rPr>
                <w:rFonts w:ascii="宋体" w:hAnsi="宋体" w:cs="宋体"/>
                <w:kern w:val="0"/>
              </w:rPr>
              <w:t>1</w:t>
            </w:r>
            <w:r>
              <w:rPr>
                <w:rFonts w:hint="eastAsia" w:ascii="宋体" w:hAnsi="宋体" w:cs="宋体"/>
                <w:kern w:val="0"/>
              </w:rPr>
              <w:t>分）；</w:t>
            </w:r>
            <w:r>
              <w:rPr>
                <w:rFonts w:ascii="宋体" w:hAnsi="宋体" w:cs="宋体"/>
                <w:kern w:val="0"/>
              </w:rPr>
              <w:br w:type="textWrapping"/>
            </w:r>
            <w:r>
              <w:rPr>
                <w:rFonts w:ascii="宋体" w:hAnsi="宋体" w:cs="宋体"/>
                <w:kern w:val="0"/>
              </w:rPr>
              <w:t xml:space="preserve">   3.</w:t>
            </w:r>
            <w:r>
              <w:rPr>
                <w:rFonts w:hint="eastAsia" w:ascii="宋体" w:hAnsi="宋体" w:cs="宋体"/>
                <w:kern w:val="0"/>
              </w:rPr>
              <w:t>专项资金预算编制细化程度合理，未出现因年中调剂导致部门预决算差异过大问题（</w:t>
            </w:r>
            <w:r>
              <w:rPr>
                <w:rFonts w:ascii="宋体" w:hAnsi="宋体" w:cs="宋体"/>
                <w:kern w:val="0"/>
              </w:rPr>
              <w:t>1</w:t>
            </w:r>
            <w:r>
              <w:rPr>
                <w:rFonts w:hint="eastAsia" w:ascii="宋体" w:hAnsi="宋体" w:cs="宋体"/>
                <w:kern w:val="0"/>
              </w:rPr>
              <w:t>分）；</w:t>
            </w:r>
            <w:r>
              <w:rPr>
                <w:rFonts w:ascii="宋体" w:hAnsi="宋体" w:cs="宋体"/>
                <w:kern w:val="0"/>
              </w:rPr>
              <w:br w:type="textWrapping"/>
            </w:r>
            <w:r>
              <w:rPr>
                <w:rFonts w:ascii="宋体" w:hAnsi="宋体" w:cs="宋体"/>
                <w:kern w:val="0"/>
              </w:rPr>
              <w:t xml:space="preserve">   4.</w:t>
            </w:r>
            <w:r>
              <w:rPr>
                <w:rFonts w:hint="eastAsia" w:ascii="宋体" w:hAnsi="宋体" w:cs="宋体"/>
                <w:kern w:val="0"/>
              </w:rPr>
              <w:t>功能分类和经济分类编制准确，年度中间无大量调剂，未发生项目之间频繁调剂（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5.</w:t>
            </w:r>
            <w:r>
              <w:rPr>
                <w:rFonts w:hint="eastAsia" w:ascii="宋体" w:hAnsi="宋体" w:cs="宋体"/>
                <w:kern w:val="0"/>
              </w:rPr>
              <w:t>部门预算分配不固化，能根据实际情况合理调整，不存在项目支出进度慢、完成率低、绩效较差，但连年持续安排预算等不合理的情况（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168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预算编制规范性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部门（单位）预算编制是否符合财政部门当年度关于预算编制在规范性、完整性、细化程度等方面的原则和要求。</w:t>
            </w:r>
          </w:p>
        </w:tc>
        <w:tc>
          <w:tcPr>
            <w:tcW w:w="5812"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kern w:val="0"/>
              </w:rPr>
            </w:pPr>
            <w:r>
              <w:rPr>
                <w:rFonts w:ascii="宋体" w:hAnsi="宋体" w:cs="宋体"/>
                <w:kern w:val="0"/>
              </w:rPr>
              <w:t>1.</w:t>
            </w:r>
            <w:r>
              <w:rPr>
                <w:rFonts w:hint="eastAsia" w:ascii="宋体" w:hAnsi="宋体" w:cs="宋体"/>
                <w:kern w:val="0"/>
              </w:rPr>
              <w:t>部门（单位）预算编制符合财政部门当年度关于预算编制的各项原则和要求，符合专项资金预算编制、项目库管理、新增项目事前绩效评估等要求（</w:t>
            </w:r>
            <w:r>
              <w:rPr>
                <w:rFonts w:ascii="宋体" w:hAnsi="宋体" w:cs="宋体"/>
                <w:kern w:val="0"/>
              </w:rPr>
              <w:t>5</w:t>
            </w:r>
            <w:r>
              <w:rPr>
                <w:rFonts w:hint="eastAsia" w:ascii="宋体" w:hAnsi="宋体" w:cs="宋体"/>
                <w:kern w:val="0"/>
              </w:rPr>
              <w:t>分）；</w:t>
            </w:r>
          </w:p>
          <w:p>
            <w:pPr>
              <w:widowControl/>
              <w:spacing w:line="300" w:lineRule="exact"/>
              <w:ind w:firstLine="315" w:firstLineChars="150"/>
              <w:jc w:val="left"/>
              <w:rPr>
                <w:rFonts w:ascii="宋体"/>
                <w:kern w:val="0"/>
              </w:rPr>
            </w:pPr>
            <w:r>
              <w:rPr>
                <w:rFonts w:ascii="宋体" w:hAnsi="宋体" w:cs="宋体"/>
                <w:kern w:val="0"/>
              </w:rPr>
              <w:t>2.</w:t>
            </w:r>
            <w:r>
              <w:rPr>
                <w:rFonts w:hint="eastAsia" w:ascii="宋体" w:hAnsi="宋体" w:cs="宋体"/>
                <w:kern w:val="0"/>
              </w:rPr>
              <w:t>发现一项不符合的扣</w:t>
            </w:r>
            <w:r>
              <w:rPr>
                <w:rFonts w:ascii="宋体" w:hAnsi="宋体" w:cs="宋体"/>
                <w:kern w:val="0"/>
              </w:rPr>
              <w:t>1</w:t>
            </w:r>
            <w:r>
              <w:rPr>
                <w:rFonts w:hint="eastAsia" w:ascii="宋体" w:hAnsi="宋体" w:cs="宋体"/>
                <w:kern w:val="0"/>
              </w:rPr>
              <w:t>分，扣完为止。</w:t>
            </w:r>
          </w:p>
          <w:p>
            <w:pPr>
              <w:widowControl/>
              <w:spacing w:line="300" w:lineRule="exact"/>
              <w:ind w:firstLine="315" w:firstLineChars="150"/>
              <w:jc w:val="left"/>
              <w:rPr>
                <w:rFonts w:ascii="宋体"/>
                <w:kern w:val="0"/>
              </w:rPr>
            </w:pPr>
            <w:r>
              <w:rPr>
                <w:rFonts w:hint="eastAsia" w:ascii="宋体" w:hAnsi="宋体" w:cs="宋体"/>
                <w:kern w:val="0"/>
              </w:rPr>
              <w:t>本指标需对照相应年度由财政部门印发的部门预算编制工作方案、通知和有关制度文件，根据实际情况评分。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hAnsi="宋体" w:cs="宋体"/>
                <w:kern w:val="0"/>
              </w:rPr>
            </w:pPr>
          </w:p>
        </w:tc>
      </w:tr>
      <w:tr>
        <w:tblPrEx>
          <w:tblCellMar>
            <w:top w:w="0" w:type="dxa"/>
            <w:left w:w="108" w:type="dxa"/>
            <w:bottom w:w="0" w:type="dxa"/>
            <w:right w:w="108" w:type="dxa"/>
          </w:tblCellMar>
        </w:tblPrEx>
        <w:trPr>
          <w:trHeight w:val="16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目标设置</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15</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绩效目标完整性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部门（单位）是否按要求编报项目绩效目标，是否依据充分、内容完整、覆盖全面、符合实际。</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部门（单位）按要求编报部门整体和项目的绩效目标，实现绩效目标全覆盖（</w:t>
            </w:r>
            <w:r>
              <w:rPr>
                <w:rFonts w:ascii="宋体" w:hAnsi="宋体" w:cs="宋体"/>
                <w:kern w:val="0"/>
              </w:rPr>
              <w:t>8</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没按要求编报绩效目标或绩效目标不符合要求的，一项扣</w:t>
            </w:r>
            <w:r>
              <w:rPr>
                <w:rFonts w:ascii="宋体" w:hAnsi="宋体" w:cs="宋体"/>
                <w:kern w:val="0"/>
              </w:rPr>
              <w:t>1</w:t>
            </w:r>
            <w:r>
              <w:rPr>
                <w:rFonts w:hint="eastAsia" w:ascii="宋体" w:hAnsi="宋体" w:cs="宋体"/>
                <w:kern w:val="0"/>
              </w:rPr>
              <w:t>分，扣完为止。</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4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绩效指标明确性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7</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部门（单位）设定的绩效指标是否清晰、细化、可量化，用以反映和考核部门（单位）整体绩效目标的明细化情况。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ascii="宋体" w:hAnsi="宋体" w:cs="宋体"/>
                <w:kern w:val="0"/>
              </w:rPr>
              <w:t>1.</w:t>
            </w:r>
            <w:r>
              <w:rPr>
                <w:rFonts w:hint="eastAsia" w:ascii="宋体" w:hAnsi="宋体" w:cs="宋体"/>
                <w:kern w:val="0"/>
              </w:rPr>
              <w:t>绩效指标将部门整体绩效目标细化分解为具体工作任务，与部门年度任务数或计划数相对应（</w:t>
            </w:r>
            <w:r>
              <w:rPr>
                <w:rFonts w:ascii="宋体" w:hAnsi="宋体" w:cs="宋体"/>
                <w:kern w:val="0"/>
              </w:rPr>
              <w:t>2</w:t>
            </w:r>
            <w:r>
              <w:rPr>
                <w:rFonts w:hint="eastAsia" w:ascii="宋体" w:hAnsi="宋体" w:cs="宋体"/>
                <w:kern w:val="0"/>
              </w:rPr>
              <w:t>分）；</w:t>
            </w:r>
          </w:p>
          <w:p>
            <w:pPr>
              <w:widowControl/>
              <w:spacing w:line="320" w:lineRule="exact"/>
              <w:ind w:firstLine="420" w:firstLineChars="200"/>
              <w:rPr>
                <w:rFonts w:ascii="宋体"/>
                <w:kern w:val="0"/>
              </w:rPr>
            </w:pPr>
            <w:r>
              <w:rPr>
                <w:rFonts w:ascii="宋体" w:hAnsi="宋体" w:cs="宋体"/>
                <w:kern w:val="0"/>
              </w:rPr>
              <w:t>2.</w:t>
            </w:r>
            <w:r>
              <w:rPr>
                <w:rFonts w:hint="eastAsia" w:ascii="宋体" w:hAnsi="宋体" w:cs="宋体"/>
                <w:kern w:val="0"/>
              </w:rPr>
              <w:t>绩效指标中包含能够明确体现部门（单位）履职效果的社会、经济、生态效益指标（</w:t>
            </w:r>
            <w:r>
              <w:rPr>
                <w:rFonts w:ascii="宋体" w:hAnsi="宋体" w:cs="宋体"/>
                <w:kern w:val="0"/>
              </w:rPr>
              <w:t>2</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绩效指标具有清晰、可衡量的指标值（</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ascii="宋体" w:cs="宋体"/>
                <w:kern w:val="0"/>
              </w:rPr>
              <w:t>.</w:t>
            </w:r>
            <w:r>
              <w:rPr>
                <w:rFonts w:hint="eastAsia" w:ascii="宋体" w:hAnsi="宋体" w:cs="宋体"/>
                <w:kern w:val="0"/>
              </w:rPr>
              <w:t>绩效指标包含可量化的指标（</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 xml:space="preserve">    5</w:t>
            </w:r>
            <w:r>
              <w:rPr>
                <w:rFonts w:ascii="宋体" w:cs="宋体"/>
                <w:kern w:val="0"/>
              </w:rPr>
              <w:t>.</w:t>
            </w:r>
            <w:r>
              <w:rPr>
                <w:rFonts w:hint="eastAsia" w:ascii="宋体" w:hAnsi="宋体" w:cs="宋体"/>
                <w:kern w:val="0"/>
              </w:rPr>
              <w:t>绩效目标的目标值测算能提供相关依据或符合客观实际情况（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r>
              <w:rPr>
                <w:rFonts w:hint="eastAsia" w:ascii="宋体" w:hAnsi="宋体" w:cs="宋体"/>
                <w:kern w:val="0"/>
              </w:rPr>
              <w:t>扣分原因：在绩效目标设置上清晰、可衡量程度不足。</w:t>
            </w:r>
          </w:p>
          <w:p>
            <w:pPr>
              <w:widowControl/>
              <w:spacing w:line="320" w:lineRule="exact"/>
              <w:rPr>
                <w:rFonts w:ascii="宋体" w:hAnsi="宋体" w:cs="宋体"/>
                <w:kern w:val="0"/>
              </w:rPr>
            </w:pPr>
            <w:r>
              <w:rPr>
                <w:rFonts w:hint="eastAsia" w:ascii="宋体" w:hAnsi="宋体" w:cs="宋体"/>
                <w:kern w:val="0"/>
              </w:rPr>
              <w:t>改进措施：</w:t>
            </w:r>
            <w:r>
              <w:rPr>
                <w:rFonts w:ascii="宋体" w:hAnsi="宋体" w:cs="宋体"/>
                <w:kern w:val="0"/>
              </w:rPr>
              <w:t>按照</w:t>
            </w:r>
            <w:r>
              <w:rPr>
                <w:rFonts w:hint="eastAsia" w:ascii="宋体" w:hAnsi="宋体" w:cs="宋体"/>
                <w:kern w:val="0"/>
              </w:rPr>
              <w:t>“</w:t>
            </w:r>
            <w:r>
              <w:rPr>
                <w:rFonts w:ascii="宋体" w:hAnsi="宋体" w:cs="宋体"/>
                <w:kern w:val="0"/>
              </w:rPr>
              <w:t>谁申请资金、谁设定目标</w:t>
            </w:r>
            <w:r>
              <w:rPr>
                <w:rFonts w:hint="eastAsia" w:ascii="宋体" w:hAnsi="宋体" w:cs="宋体"/>
                <w:kern w:val="0"/>
              </w:rPr>
              <w:t>”</w:t>
            </w:r>
            <w:r>
              <w:rPr>
                <w:rFonts w:ascii="宋体" w:hAnsi="宋体" w:cs="宋体"/>
                <w:kern w:val="0"/>
              </w:rPr>
              <w:t>的原则，设置具有专业特征的预算绩效指标体系</w:t>
            </w:r>
          </w:p>
        </w:tc>
      </w:tr>
      <w:tr>
        <w:tblPrEx>
          <w:tblCellMar>
            <w:top w:w="0" w:type="dxa"/>
            <w:left w:w="108" w:type="dxa"/>
            <w:bottom w:w="0" w:type="dxa"/>
            <w:right w:w="108" w:type="dxa"/>
          </w:tblCellMar>
        </w:tblPrEx>
        <w:trPr>
          <w:trHeight w:val="1359"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20</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资金管理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政府采购执行情况</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部门（单位）本年度实际政府采购金额与年度政府采购预算的比率，用以反映和考核部门（单位）政府采购预算执行情况；政府采购政策功能的执行和落实情况。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05"/>
              <w:rPr>
                <w:rFonts w:ascii="宋体"/>
                <w:kern w:val="0"/>
              </w:rPr>
            </w:pPr>
            <w:r>
              <w:rPr>
                <w:rFonts w:ascii="宋体" w:hAnsi="宋体" w:cs="宋体"/>
                <w:kern w:val="0"/>
              </w:rPr>
              <w:t>1.</w:t>
            </w:r>
            <w:r>
              <w:rPr>
                <w:rFonts w:hint="eastAsia" w:ascii="宋体" w:hAnsi="宋体" w:cs="宋体"/>
                <w:kern w:val="0"/>
              </w:rPr>
              <w:t>政府采购执行率得分</w:t>
            </w:r>
            <w:r>
              <w:rPr>
                <w:rFonts w:ascii="宋体" w:hAnsi="宋体" w:cs="宋体"/>
                <w:kern w:val="0"/>
              </w:rPr>
              <w:t>=</w:t>
            </w:r>
            <w:r>
              <w:rPr>
                <w:rFonts w:hint="eastAsia" w:ascii="宋体" w:hAnsi="宋体" w:cs="宋体"/>
                <w:kern w:val="0"/>
              </w:rPr>
              <w:t>政府采购执行率×</w:t>
            </w:r>
            <w:r>
              <w:rPr>
                <w:rFonts w:ascii="宋体" w:hAnsi="宋体" w:cs="宋体"/>
                <w:kern w:val="0"/>
              </w:rPr>
              <w:t>1</w:t>
            </w:r>
            <w:r>
              <w:rPr>
                <w:rFonts w:hint="eastAsia" w:ascii="宋体" w:hAnsi="宋体" w:cs="宋体"/>
                <w:kern w:val="0"/>
              </w:rPr>
              <w:t>分</w:t>
            </w:r>
            <w:r>
              <w:rPr>
                <w:rFonts w:ascii="宋体"/>
                <w:kern w:val="0"/>
              </w:rPr>
              <w:br w:type="textWrapping"/>
            </w:r>
            <w:r>
              <w:rPr>
                <w:rFonts w:hint="eastAsia" w:ascii="宋体" w:hAnsi="宋体" w:cs="宋体"/>
                <w:kern w:val="0"/>
              </w:rPr>
              <w:t>政府采购执行率</w:t>
            </w:r>
            <w:r>
              <w:rPr>
                <w:rFonts w:ascii="宋体" w:hAnsi="宋体" w:cs="宋体"/>
                <w:kern w:val="0"/>
              </w:rPr>
              <w:t>=</w:t>
            </w:r>
            <w:r>
              <w:rPr>
                <w:rFonts w:hint="eastAsia" w:ascii="宋体" w:hAnsi="宋体" w:cs="宋体"/>
                <w:kern w:val="0"/>
              </w:rPr>
              <w:t>（实际采购金额合计数</w:t>
            </w:r>
            <w:r>
              <w:rPr>
                <w:rFonts w:ascii="宋体" w:hAnsi="宋体" w:cs="宋体"/>
                <w:kern w:val="0"/>
              </w:rPr>
              <w:t>/</w:t>
            </w:r>
            <w:r>
              <w:rPr>
                <w:rFonts w:hint="eastAsia" w:ascii="宋体" w:hAnsi="宋体" w:cs="宋体"/>
                <w:kern w:val="0"/>
              </w:rPr>
              <w:t>采购计划金额合计数）×</w:t>
            </w:r>
            <w:r>
              <w:rPr>
                <w:rFonts w:ascii="宋体" w:hAnsi="宋体" w:cs="宋体"/>
                <w:kern w:val="0"/>
              </w:rPr>
              <w:t>100%</w:t>
            </w:r>
            <w:r>
              <w:rPr>
                <w:rFonts w:ascii="宋体" w:hAnsi="宋体" w:cs="宋体"/>
                <w:kern w:val="0"/>
              </w:rPr>
              <w:br w:type="textWrapping"/>
            </w:r>
            <w:r>
              <w:rPr>
                <w:rFonts w:hint="eastAsia" w:ascii="宋体" w:hAnsi="宋体" w:cs="宋体"/>
                <w:kern w:val="0"/>
              </w:rPr>
              <w:t>如实际采购金额大于采购计划金额，本项得</w:t>
            </w:r>
            <w:r>
              <w:rPr>
                <w:rFonts w:ascii="宋体" w:cs="宋体"/>
                <w:kern w:val="0"/>
              </w:rPr>
              <w:t>0</w:t>
            </w:r>
            <w:r>
              <w:rPr>
                <w:rFonts w:hint="eastAsia" w:ascii="宋体" w:hAnsi="宋体" w:cs="宋体"/>
                <w:kern w:val="0"/>
              </w:rPr>
              <w:t>分。</w:t>
            </w:r>
            <w:r>
              <w:rPr>
                <w:rFonts w:ascii="宋体"/>
                <w:kern w:val="0"/>
              </w:rPr>
              <w:br w:type="textWrapping"/>
            </w:r>
            <w:r>
              <w:rPr>
                <w:rFonts w:hint="eastAsia" w:ascii="宋体" w:hAnsi="宋体" w:cs="宋体"/>
                <w:kern w:val="0"/>
              </w:rPr>
              <w:t>政府采购预算是指采购机关根据事业发展计划和行政任务编制的</w:t>
            </w:r>
            <w:r>
              <w:rPr>
                <w:rFonts w:hint="eastAsia" w:ascii="宋体" w:hAnsi="宋体" w:cs="宋体"/>
                <w:kern w:val="0"/>
                <w:lang w:eastAsia="zh-CN"/>
              </w:rPr>
              <w:t>，</w:t>
            </w:r>
            <w:r>
              <w:rPr>
                <w:rFonts w:hint="eastAsia" w:ascii="宋体" w:hAnsi="宋体" w:cs="宋体"/>
                <w:kern w:val="0"/>
              </w:rPr>
              <w:t>并经过规定程序批准的年度政府采购计划。</w:t>
            </w:r>
          </w:p>
          <w:p>
            <w:pPr>
              <w:widowControl/>
              <w:spacing w:line="320" w:lineRule="exact"/>
              <w:ind w:firstLine="405"/>
              <w:rPr>
                <w:rFonts w:ascii="宋体"/>
                <w:kern w:val="0"/>
              </w:rPr>
            </w:pPr>
            <w:r>
              <w:rPr>
                <w:rFonts w:ascii="宋体" w:hAnsi="宋体" w:cs="宋体"/>
                <w:kern w:val="0"/>
              </w:rPr>
              <w:t>2.</w:t>
            </w:r>
            <w:r>
              <w:rPr>
                <w:rFonts w:hint="eastAsia" w:ascii="宋体" w:hAnsi="宋体" w:cs="宋体"/>
                <w:kern w:val="0"/>
              </w:rPr>
              <w:t>政府采购政策功能的执行和落实情况（</w:t>
            </w:r>
            <w:r>
              <w:rPr>
                <w:rFonts w:ascii="宋体" w:hAnsi="宋体" w:cs="宋体"/>
                <w:kern w:val="0"/>
              </w:rPr>
              <w:t>1</w:t>
            </w:r>
            <w:r>
              <w:rPr>
                <w:rFonts w:hint="eastAsia" w:ascii="宋体" w:hAnsi="宋体" w:cs="宋体"/>
                <w:kern w:val="0"/>
              </w:rPr>
              <w:t>分），落实不到位的酌情扣分。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8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财务合规性</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资金支出规范性，包括资金管理、费用支出等制度是否严格执行；资金调整、调剂是否规范；会计核算是否规范、是否存在支出依据不合规、虚列项目支出的情况；是否存在截留、挤占、挪用项目资金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资金支出规范性（</w:t>
            </w:r>
            <w:r>
              <w:rPr>
                <w:rFonts w:ascii="宋体" w:hAnsi="宋体" w:cs="宋体"/>
                <w:kern w:val="0"/>
              </w:rPr>
              <w:t>1</w:t>
            </w:r>
            <w:r>
              <w:rPr>
                <w:rFonts w:hint="eastAsia" w:ascii="宋体" w:hAnsi="宋体" w:cs="宋体"/>
                <w:kern w:val="0"/>
              </w:rPr>
              <w:t>分）。资金管理、费用标准、支付符合有关制度规定，按事项完成进度支付资金的，得</w:t>
            </w:r>
            <w:r>
              <w:rPr>
                <w:rFonts w:ascii="宋体" w:hAnsi="宋体" w:cs="宋体"/>
                <w:kern w:val="0"/>
              </w:rPr>
              <w:t>1</w:t>
            </w:r>
            <w:r>
              <w:rPr>
                <w:rFonts w:hint="eastAsia" w:ascii="宋体" w:hAnsi="宋体" w:cs="宋体"/>
                <w:kern w:val="0"/>
              </w:rPr>
              <w:t>分，否则酌情扣分。</w:t>
            </w:r>
            <w:r>
              <w:rPr>
                <w:rFonts w:ascii="宋体"/>
                <w:kern w:val="0"/>
              </w:rPr>
              <w:br w:type="textWrapping"/>
            </w:r>
            <w:r>
              <w:rPr>
                <w:rFonts w:ascii="宋体" w:hAnsi="宋体" w:cs="宋体"/>
                <w:kern w:val="0"/>
              </w:rPr>
              <w:t xml:space="preserve">    2.</w:t>
            </w:r>
            <w:r>
              <w:rPr>
                <w:rFonts w:hint="eastAsia" w:ascii="宋体" w:hAnsi="宋体" w:cs="宋体"/>
                <w:kern w:val="0"/>
              </w:rPr>
              <w:t>资金调整、调剂规范性（</w:t>
            </w:r>
            <w:r>
              <w:rPr>
                <w:rFonts w:ascii="宋体" w:hAnsi="宋体" w:cs="宋体"/>
                <w:kern w:val="0"/>
              </w:rPr>
              <w:t>1</w:t>
            </w:r>
            <w:r>
              <w:rPr>
                <w:rFonts w:hint="eastAsia" w:ascii="宋体" w:hAnsi="宋体" w:cs="宋体"/>
                <w:kern w:val="0"/>
              </w:rPr>
              <w:t>分）。调整、调剂资金累计在本单位部门预算总规模</w:t>
            </w:r>
            <w:r>
              <w:rPr>
                <w:rFonts w:ascii="宋体" w:hAnsi="宋体" w:cs="宋体"/>
                <w:kern w:val="0"/>
              </w:rPr>
              <w:t>10%</w:t>
            </w:r>
            <w:r>
              <w:rPr>
                <w:rFonts w:hint="eastAsia" w:ascii="宋体" w:hAnsi="宋体" w:cs="宋体"/>
                <w:kern w:val="0"/>
              </w:rPr>
              <w:t>以内的，得</w:t>
            </w:r>
            <w:r>
              <w:rPr>
                <w:rFonts w:ascii="宋体" w:hAnsi="宋体" w:cs="宋体"/>
                <w:kern w:val="0"/>
              </w:rPr>
              <w:t>1</w:t>
            </w:r>
            <w:r>
              <w:rPr>
                <w:rFonts w:hint="eastAsia" w:ascii="宋体" w:hAnsi="宋体" w:cs="宋体"/>
                <w:kern w:val="0"/>
              </w:rPr>
              <w:t>分；超出</w:t>
            </w:r>
            <w:r>
              <w:rPr>
                <w:rFonts w:ascii="宋体" w:hAnsi="宋体" w:cs="宋体"/>
                <w:kern w:val="0"/>
              </w:rPr>
              <w:t>10%</w:t>
            </w:r>
            <w:r>
              <w:rPr>
                <w:rFonts w:hint="eastAsia" w:ascii="宋体" w:hAnsi="宋体" w:cs="宋体"/>
                <w:kern w:val="0"/>
              </w:rPr>
              <w:t>的，超出一个百分点扣</w:t>
            </w:r>
            <w:r>
              <w:rPr>
                <w:rFonts w:ascii="宋体" w:hAnsi="宋体" w:cs="宋体"/>
                <w:kern w:val="0"/>
              </w:rPr>
              <w:t>0.1</w:t>
            </w:r>
            <w:r>
              <w:rPr>
                <w:rFonts w:hint="eastAsia" w:ascii="宋体" w:hAnsi="宋体" w:cs="宋体"/>
                <w:kern w:val="0"/>
              </w:rPr>
              <w:t>分，直至</w:t>
            </w:r>
            <w:r>
              <w:rPr>
                <w:rFonts w:ascii="宋体" w:hAnsi="宋体" w:cs="宋体"/>
                <w:kern w:val="0"/>
              </w:rPr>
              <w:t>1</w:t>
            </w:r>
            <w:r>
              <w:rPr>
                <w:rFonts w:hint="eastAsia" w:ascii="宋体" w:hAnsi="宋体" w:cs="宋体"/>
                <w:kern w:val="0"/>
              </w:rPr>
              <w:t>分扣完为止。</w:t>
            </w:r>
          </w:p>
          <w:p>
            <w:pPr>
              <w:widowControl/>
              <w:spacing w:line="320" w:lineRule="exact"/>
              <w:ind w:firstLine="420" w:firstLineChars="200"/>
              <w:rPr>
                <w:rFonts w:ascii="宋体"/>
                <w:kern w:val="0"/>
              </w:rPr>
            </w:pPr>
            <w:r>
              <w:rPr>
                <w:rFonts w:ascii="宋体" w:hAnsi="宋体" w:cs="宋体"/>
                <w:kern w:val="0"/>
              </w:rPr>
              <w:t>3.</w:t>
            </w:r>
            <w:r>
              <w:rPr>
                <w:rFonts w:hint="eastAsia" w:ascii="宋体" w:hAnsi="宋体" w:cs="宋体"/>
                <w:kern w:val="0"/>
              </w:rPr>
              <w:t>会计核算规范性（</w:t>
            </w:r>
            <w:r>
              <w:rPr>
                <w:rFonts w:ascii="宋体" w:hAnsi="宋体" w:cs="宋体"/>
                <w:kern w:val="0"/>
              </w:rPr>
              <w:t>1</w:t>
            </w:r>
            <w:r>
              <w:rPr>
                <w:rFonts w:hint="eastAsia" w:ascii="宋体" w:hAnsi="宋体" w:cs="宋体"/>
                <w:kern w:val="0"/>
              </w:rPr>
              <w:t>分）。规范执行会计核算制度得</w:t>
            </w:r>
            <w:r>
              <w:rPr>
                <w:rFonts w:ascii="宋体" w:hAnsi="宋体" w:cs="宋体"/>
                <w:kern w:val="0"/>
              </w:rPr>
              <w:t>1</w:t>
            </w:r>
            <w:r>
              <w:rPr>
                <w:rFonts w:hint="eastAsia" w:ascii="宋体" w:hAnsi="宋体" w:cs="宋体"/>
                <w:kern w:val="0"/>
              </w:rPr>
              <w:t>分，未按规定设专账核算、支出凭证不符合规定或其他核算不规范，酌情扣分。</w:t>
            </w:r>
          </w:p>
          <w:p>
            <w:pPr>
              <w:widowControl/>
              <w:spacing w:line="320" w:lineRule="exact"/>
              <w:ind w:firstLine="420"/>
              <w:rPr>
                <w:rFonts w:ascii="宋体"/>
                <w:kern w:val="0"/>
              </w:rPr>
            </w:pPr>
            <w:r>
              <w:rPr>
                <w:rFonts w:ascii="宋体" w:hAnsi="宋体" w:cs="宋体"/>
                <w:kern w:val="0"/>
              </w:rPr>
              <w:t>4.</w:t>
            </w:r>
            <w:r>
              <w:rPr>
                <w:rFonts w:hint="eastAsia" w:ascii="宋体" w:hAnsi="宋体" w:cs="宋体"/>
                <w:kern w:val="0"/>
              </w:rPr>
              <w:t>发生超范围、超标准支出，虚列支出，截留、挤占、挪用资金的，以及其他不符合制度规定支出，本项指标得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29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预决算信息公开</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部门（单位）在被评价年度是否按照政府信息公开有关规定公开相关预决算信息，用以反映部门（单位）预决算管理的公开透明情况。</w:t>
            </w:r>
          </w:p>
        </w:tc>
        <w:tc>
          <w:tcPr>
            <w:tcW w:w="5812" w:type="dxa"/>
            <w:tcBorders>
              <w:top w:val="nil"/>
              <w:left w:val="nil"/>
              <w:bottom w:val="single" w:color="auto" w:sz="4" w:space="0"/>
              <w:right w:val="single" w:color="auto" w:sz="4" w:space="0"/>
            </w:tcBorders>
            <w:vAlign w:val="center"/>
          </w:tcPr>
          <w:p>
            <w:pPr>
              <w:ind w:firstLine="420" w:firstLineChars="200"/>
              <w:rPr>
                <w:rFonts w:ascii="宋体" w:hAnsi="宋体"/>
              </w:rPr>
            </w:pPr>
            <w:r>
              <w:rPr>
                <w:rFonts w:ascii="宋体" w:hAnsi="宋体"/>
              </w:rPr>
              <w:t>1.</w:t>
            </w:r>
            <w:r>
              <w:rPr>
                <w:rFonts w:hint="eastAsia" w:ascii="宋体" w:hAnsi="宋体"/>
              </w:rPr>
              <w:t>部门预算公开（</w:t>
            </w:r>
            <w:r>
              <w:rPr>
                <w:rFonts w:ascii="宋体" w:hAnsi="宋体"/>
              </w:rPr>
              <w:t>1.5</w:t>
            </w:r>
            <w:r>
              <w:rPr>
                <w:rFonts w:hint="eastAsia" w:ascii="宋体" w:hAnsi="宋体"/>
              </w:rPr>
              <w:t>分），按以下标准分档计分：</w:t>
            </w:r>
            <w:r>
              <w:rPr>
                <w:rFonts w:ascii="宋体" w:hAnsi="宋体"/>
              </w:rPr>
              <w:br w:type="textWrapping"/>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r>
              <w:rPr>
                <w:rFonts w:ascii="宋体" w:hAnsi="宋体"/>
              </w:rPr>
              <w:br w:type="textWrapping"/>
            </w:r>
            <w:r>
              <w:rPr>
                <w:rFonts w:ascii="宋体" w:hAnsi="宋体"/>
              </w:rPr>
              <w:t xml:space="preserve">    2.</w:t>
            </w:r>
            <w:r>
              <w:rPr>
                <w:rFonts w:hint="eastAsia" w:ascii="宋体" w:hAnsi="宋体"/>
              </w:rPr>
              <w:t>部门决算公开（</w:t>
            </w:r>
            <w:r>
              <w:rPr>
                <w:rFonts w:ascii="宋体" w:hAnsi="宋体"/>
              </w:rPr>
              <w:t>1.5</w:t>
            </w:r>
            <w:r>
              <w:rPr>
                <w:rFonts w:hint="eastAsia" w:ascii="宋体" w:hAnsi="宋体"/>
              </w:rPr>
              <w:t>分），按以下标准分档计分：</w:t>
            </w:r>
            <w:r>
              <w:rPr>
                <w:rFonts w:ascii="宋体" w:hAnsi="宋体"/>
              </w:rPr>
              <w:br w:type="textWrapping"/>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p>
          <w:p>
            <w:pPr>
              <w:rPr>
                <w:rFonts w:ascii="宋体" w:hAnsi="宋体"/>
              </w:rPr>
            </w:pPr>
            <w:r>
              <w:rPr>
                <w:rFonts w:ascii="宋体" w:hAnsi="宋体"/>
              </w:rPr>
              <w:t xml:space="preserve">    3.</w:t>
            </w:r>
            <w:r>
              <w:rPr>
                <w:rFonts w:hint="eastAsia" w:ascii="宋体" w:hAnsi="宋体"/>
              </w:rPr>
              <w:t>涉密部门（单位）按规定不需要公开相关预决算信息的直接得分。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49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4</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项目实施程序</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部门（单位）所有项目支出实施过程是否规范</w:t>
            </w:r>
            <w:r>
              <w:rPr>
                <w:rFonts w:ascii="宋体" w:cs="宋体"/>
                <w:kern w:val="0"/>
              </w:rPr>
              <w:t>,</w:t>
            </w:r>
            <w:r>
              <w:rPr>
                <w:rFonts w:hint="eastAsia" w:ascii="宋体" w:hAnsi="宋体" w:cs="宋体"/>
                <w:kern w:val="0"/>
              </w:rPr>
              <w:t>包括是否符合申报条件；申报、批复程序是否符合相关管理办法；项目招投标、调整、完成验收等是否履行相应手续等。</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项目的设立、调整按规定履行报批程序（</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项目招投标、建设、验收以及方案实施均严格执行相关制度规定（</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52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w:t>
            </w:r>
          </w:p>
          <w:p>
            <w:pPr>
              <w:widowControl/>
              <w:spacing w:line="320" w:lineRule="exact"/>
              <w:jc w:val="left"/>
              <w:rPr>
                <w:rFonts w:ascii="宋体"/>
                <w:kern w:val="0"/>
              </w:rPr>
            </w:pPr>
            <w:r>
              <w:rPr>
                <w:rFonts w:hint="eastAsia" w:ascii="宋体" w:hAnsi="宋体" w:cs="宋体"/>
                <w:kern w:val="0"/>
              </w:rPr>
              <w:t>监管</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部门（单位）对所实施项目（包括部门主管的专项资金和专项经费分配给区级各部门实施的项目）的检查、监控、督促整改等管理情况。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资金使用单位、基层资金管理单位建立有效资金管理和绩效运行监控机制，且执行情况良好（</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各主管部门按规定对主管的财政资金（含专项资金和专项经费）开展有效的检查、监控、督促整改（</w:t>
            </w:r>
            <w:r>
              <w:rPr>
                <w:rFonts w:ascii="宋体" w:hAnsi="宋体" w:cs="宋体"/>
                <w:kern w:val="0"/>
              </w:rPr>
              <w:t>1</w:t>
            </w:r>
            <w:r>
              <w:rPr>
                <w:rFonts w:hint="eastAsia" w:ascii="宋体" w:hAnsi="宋体" w:cs="宋体"/>
                <w:kern w:val="0"/>
              </w:rPr>
              <w:t>分），如无法提供开展检查监督相关证明材料，或被评价年度部门主管的专项资金绩效评价结果为差的，得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136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资产管理安全性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部门（单位）的资产是否保存完整、使用合规、配置合理、处置规范、收入及时足额上缴，用于反映和考核部门（单位）资产安全运行情况。</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资产配置合理、保管完整，账实相符（</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资产处置规范，有偿使用及处置收入及时足额上缴（</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3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固定资产利用率</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部门（单位）实际在用固定资产总额与所有固定资产总额的比例，用以反映和考核部门（单位）固定资产使用效率程度。</w:t>
            </w:r>
          </w:p>
        </w:tc>
        <w:tc>
          <w:tcPr>
            <w:tcW w:w="5812" w:type="dxa"/>
            <w:tcBorders>
              <w:top w:val="nil"/>
              <w:left w:val="nil"/>
              <w:bottom w:val="single" w:color="auto" w:sz="4" w:space="0"/>
              <w:right w:val="single" w:color="auto" w:sz="4" w:space="0"/>
            </w:tcBorders>
            <w:vAlign w:val="center"/>
          </w:tcPr>
          <w:p>
            <w:pPr>
              <w:widowControl/>
              <w:spacing w:line="300" w:lineRule="exact"/>
              <w:ind w:firstLine="420" w:firstLineChars="200"/>
              <w:rPr>
                <w:rFonts w:ascii="宋体" w:hAnsi="宋体" w:cs="宋体"/>
                <w:kern w:val="0"/>
              </w:rPr>
            </w:pPr>
            <w:r>
              <w:rPr>
                <w:rFonts w:hint="eastAsia" w:ascii="宋体" w:hAnsi="宋体" w:cs="宋体"/>
                <w:kern w:val="0"/>
              </w:rPr>
              <w:t>固定资产利用率</w:t>
            </w:r>
            <w:r>
              <w:rPr>
                <w:rFonts w:ascii="宋体" w:hAnsi="宋体" w:cs="宋体"/>
                <w:kern w:val="0"/>
              </w:rPr>
              <w:t>=</w:t>
            </w:r>
            <w:r>
              <w:rPr>
                <w:rFonts w:hint="eastAsia" w:ascii="宋体" w:hAnsi="宋体" w:cs="宋体"/>
                <w:kern w:val="0"/>
              </w:rPr>
              <w:t>（实际在用固定资产总额</w:t>
            </w:r>
            <w:r>
              <w:rPr>
                <w:rFonts w:ascii="宋体" w:hAnsi="宋体" w:cs="宋体"/>
                <w:kern w:val="0"/>
              </w:rPr>
              <w:t>/</w:t>
            </w:r>
            <w:r>
              <w:rPr>
                <w:rFonts w:hint="eastAsia" w:ascii="宋体" w:hAnsi="宋体" w:cs="宋体"/>
                <w:kern w:val="0"/>
              </w:rPr>
              <w:t>所有固定资产总额）×</w:t>
            </w:r>
            <w:r>
              <w:rPr>
                <w:rFonts w:ascii="宋体" w:hAnsi="宋体" w:cs="宋体"/>
                <w:kern w:val="0"/>
              </w:rPr>
              <w:t xml:space="preserve">100%    </w:t>
            </w:r>
          </w:p>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固定资产利用率≥</w:t>
            </w:r>
            <w:r>
              <w:rPr>
                <w:rFonts w:ascii="宋体" w:hAnsi="宋体" w:cs="宋体"/>
                <w:kern w:val="0"/>
              </w:rPr>
              <w:t>90%</w:t>
            </w:r>
            <w:r>
              <w:rPr>
                <w:rFonts w:hint="eastAsia" w:ascii="宋体" w:hAnsi="宋体" w:cs="宋体"/>
                <w:kern w:val="0"/>
              </w:rPr>
              <w:t>的，得</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2.90%</w:t>
            </w:r>
            <w:r>
              <w:rPr>
                <w:rFonts w:hint="eastAsia" w:ascii="宋体" w:hAnsi="宋体" w:cs="宋体"/>
                <w:kern w:val="0"/>
              </w:rPr>
              <w:t>＞固定资产利用率≥</w:t>
            </w:r>
            <w:r>
              <w:rPr>
                <w:rFonts w:ascii="宋体" w:hAnsi="宋体" w:cs="宋体"/>
                <w:kern w:val="0"/>
              </w:rPr>
              <w:t>75%</w:t>
            </w:r>
            <w:r>
              <w:rPr>
                <w:rFonts w:hint="eastAsia" w:ascii="宋体" w:hAnsi="宋体" w:cs="宋体"/>
                <w:kern w:val="0"/>
              </w:rPr>
              <w:t>的，得</w:t>
            </w:r>
            <w:r>
              <w:rPr>
                <w:rFonts w:ascii="宋体" w:hAnsi="宋体" w:cs="宋体"/>
                <w:kern w:val="0"/>
              </w:rPr>
              <w:t>0.7</w:t>
            </w:r>
            <w:r>
              <w:rPr>
                <w:rFonts w:hint="eastAsia" w:ascii="宋体" w:hAnsi="宋体" w:cs="宋体"/>
                <w:kern w:val="0"/>
              </w:rPr>
              <w:t>分；</w:t>
            </w:r>
            <w:r>
              <w:rPr>
                <w:rFonts w:ascii="宋体"/>
                <w:kern w:val="0"/>
              </w:rPr>
              <w:br w:type="textWrapping"/>
            </w:r>
            <w:r>
              <w:rPr>
                <w:rFonts w:ascii="宋体" w:hAnsi="宋体" w:cs="宋体"/>
                <w:kern w:val="0"/>
              </w:rPr>
              <w:t xml:space="preserve">    3.75%</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ascii="宋体" w:hAnsi="宋体" w:cs="宋体"/>
                <w:kern w:val="0"/>
              </w:rPr>
              <w:t>4</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nil"/>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300"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人员管理</w:t>
            </w: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sz w:val="18"/>
                <w:szCs w:val="18"/>
              </w:rPr>
            </w:pPr>
            <w:r>
              <w:rPr>
                <w:rFonts w:hint="eastAsia" w:ascii="宋体" w:hAnsi="宋体" w:cs="宋体"/>
                <w:kern w:val="0"/>
              </w:rPr>
              <w:t>财政供养人员控制率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sz w:val="18"/>
                <w:szCs w:val="18"/>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sz w:val="18"/>
                <w:szCs w:val="18"/>
              </w:rPr>
            </w:pPr>
            <w:r>
              <w:rPr>
                <w:rFonts w:hint="eastAsia" w:ascii="宋体" w:hAnsi="宋体" w:cs="宋体"/>
                <w:kern w:val="0"/>
              </w:rPr>
              <w:t>部门（单位）本年度在编人数（含工勤人员）与核定编制数（含工勤人员）的比率。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sz w:val="18"/>
                <w:szCs w:val="18"/>
              </w:rPr>
            </w:pPr>
            <w:r>
              <w:rPr>
                <w:rFonts w:hint="eastAsia" w:ascii="宋体" w:hAnsi="宋体" w:cs="宋体"/>
                <w:kern w:val="0"/>
              </w:rPr>
              <w:t>财政供养人员控制率</w:t>
            </w:r>
            <w:r>
              <w:rPr>
                <w:rFonts w:ascii="宋体" w:hAnsi="宋体" w:cs="宋体"/>
                <w:kern w:val="0"/>
              </w:rPr>
              <w:t>=</w:t>
            </w:r>
            <w:r>
              <w:rPr>
                <w:rFonts w:hint="eastAsia" w:ascii="宋体" w:hAnsi="宋体" w:cs="宋体"/>
                <w:kern w:val="0"/>
              </w:rPr>
              <w:t>本年度在编人数（含工勤人员）</w:t>
            </w:r>
            <w:r>
              <w:rPr>
                <w:rFonts w:ascii="宋体" w:hAnsi="宋体" w:cs="宋体"/>
                <w:kern w:val="0"/>
              </w:rPr>
              <w:t>/</w:t>
            </w:r>
            <w:r>
              <w:rPr>
                <w:rFonts w:hint="eastAsia" w:ascii="宋体" w:hAnsi="宋体" w:cs="宋体"/>
                <w:kern w:val="0"/>
              </w:rPr>
              <w:t>核定编制数（含工勤人员）</w:t>
            </w:r>
          </w:p>
          <w:p>
            <w:pPr>
              <w:widowControl/>
              <w:spacing w:line="300" w:lineRule="exact"/>
              <w:rPr>
                <w:rFonts w:ascii="宋体"/>
                <w:kern w:val="0"/>
                <w:sz w:val="18"/>
                <w:szCs w:val="18"/>
              </w:rPr>
            </w:pPr>
            <w:r>
              <w:rPr>
                <w:rFonts w:ascii="宋体" w:hAnsi="宋体" w:cs="宋体"/>
                <w:kern w:val="0"/>
              </w:rPr>
              <w:t xml:space="preserve">   1.</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rPr>
                <w:rFonts w:ascii="宋体"/>
                <w:kern w:val="0"/>
                <w:sz w:val="18"/>
                <w:szCs w:val="18"/>
              </w:rPr>
            </w:pPr>
            <w:r>
              <w:rPr>
                <w:rFonts w:ascii="宋体" w:cs="宋体"/>
                <w:kern w:val="0"/>
              </w:rPr>
              <w:t xml:space="preserve">   2.</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single" w:color="auto" w:sz="4" w:space="0"/>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2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编外人员控制率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部门（单位）本年度使用劳务派遣人员数量（含直接聘用的编外人员）与在职人员总数（在编</w:t>
            </w:r>
            <w:r>
              <w:rPr>
                <w:rFonts w:ascii="宋体" w:hAnsi="宋体" w:cs="宋体"/>
                <w:kern w:val="0"/>
              </w:rPr>
              <w:t>+</w:t>
            </w:r>
            <w:r>
              <w:rPr>
                <w:rFonts w:hint="eastAsia" w:ascii="宋体" w:hAnsi="宋体" w:cs="宋体"/>
                <w:kern w:val="0"/>
              </w:rPr>
              <w:t>编外）的比率。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比率＜</w:t>
            </w:r>
            <w:r>
              <w:rPr>
                <w:rFonts w:ascii="宋体" w:hAnsi="宋体" w:cs="宋体"/>
                <w:kern w:val="0"/>
              </w:rPr>
              <w:t>5%</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ind w:firstLine="420" w:firstLineChars="200"/>
              <w:rPr>
                <w:rFonts w:ascii="宋体"/>
                <w:kern w:val="0"/>
              </w:rPr>
            </w:pPr>
            <w:r>
              <w:rPr>
                <w:rFonts w:ascii="宋体" w:hAnsi="宋体" w:cs="宋体"/>
                <w:kern w:val="0"/>
              </w:rPr>
              <w:t>2.5%</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ascii="宋体" w:cs="宋体"/>
                <w:kern w:val="0"/>
              </w:rPr>
              <w:t>.</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0</w:t>
            </w:r>
          </w:p>
        </w:tc>
        <w:tc>
          <w:tcPr>
            <w:tcW w:w="2297" w:type="dxa"/>
            <w:tcBorders>
              <w:top w:val="single" w:color="auto" w:sz="4" w:space="0"/>
              <w:left w:val="nil"/>
              <w:bottom w:val="single" w:color="auto" w:sz="4" w:space="0"/>
              <w:right w:val="single" w:color="auto" w:sz="4" w:space="0"/>
            </w:tcBorders>
          </w:tcPr>
          <w:p>
            <w:pPr>
              <w:widowControl/>
              <w:spacing w:line="300" w:lineRule="exact"/>
              <w:rPr>
                <w:rFonts w:ascii="宋体" w:hAnsi="宋体" w:cs="宋体"/>
                <w:kern w:val="0"/>
              </w:rPr>
            </w:pPr>
            <w:r>
              <w:rPr>
                <w:rFonts w:hint="eastAsia" w:ascii="宋体" w:hAnsi="宋体" w:cs="宋体"/>
                <w:kern w:val="0"/>
              </w:rPr>
              <w:t>扣分原因：实有在编人数6人，其他人员数60人，编外人员控制率90.90%。</w:t>
            </w:r>
          </w:p>
          <w:p>
            <w:pPr>
              <w:pStyle w:val="2"/>
              <w:ind w:firstLine="0" w:firstLineChars="0"/>
              <w:rPr>
                <w:rFonts w:ascii="宋体" w:hAnsi="宋体" w:cs="宋体"/>
                <w:kern w:val="0"/>
              </w:rPr>
            </w:pPr>
            <w:r>
              <w:rPr>
                <w:rFonts w:hint="eastAsia" w:ascii="宋体" w:hAnsi="宋体" w:cs="宋体"/>
                <w:kern w:val="0"/>
              </w:rPr>
              <w:t>改进措施：</w:t>
            </w:r>
            <w:r>
              <w:rPr>
                <w:rFonts w:hint="eastAsia"/>
              </w:rPr>
              <w:t>加强编外人员的用工管理，规范录用程序，专人负责。</w:t>
            </w:r>
          </w:p>
        </w:tc>
      </w:tr>
      <w:tr>
        <w:tblPrEx>
          <w:tblCellMar>
            <w:top w:w="0" w:type="dxa"/>
            <w:left w:w="108" w:type="dxa"/>
            <w:bottom w:w="0" w:type="dxa"/>
            <w:right w:w="108" w:type="dxa"/>
          </w:tblCellMar>
        </w:tblPrEx>
        <w:trPr>
          <w:trHeight w:val="15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制度管理</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管理制度健全性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部门（单位）制定了相应的预算资金、财务管理和预算绩效管理等制度并严格执行，用以反映部门（单位）的管理制度对其完成主要职责和促进事业发展的保障情况。</w:t>
            </w:r>
          </w:p>
        </w:tc>
        <w:tc>
          <w:tcPr>
            <w:tcW w:w="5812" w:type="dxa"/>
            <w:tcBorders>
              <w:top w:val="nil"/>
              <w:left w:val="nil"/>
              <w:bottom w:val="single" w:color="auto" w:sz="4" w:space="0"/>
              <w:right w:val="single" w:color="auto" w:sz="4" w:space="0"/>
            </w:tcBorders>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部门制定了财政资金管理、财务管理、内部控制等制度（</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上述财政资金管理、财务管理、内部控制等制度得到有效执行（</w:t>
            </w:r>
            <w:r>
              <w:rPr>
                <w:rFonts w:ascii="宋体" w:hAnsi="宋体" w:cs="宋体"/>
                <w:kern w:val="0"/>
              </w:rPr>
              <w:t>1.5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部门按照预算和绩效管理一体化的要求制定本部门全面实施预算绩效管理的制度或工作方案，组织指导本级及下属单位开展事前评估、绩效目标编报、绩效监控、绩效评价和评价结果应用等工作（</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360"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部门绩效</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55</w:t>
            </w: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经济性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公用经费控制率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部门（单位）本年度实际支出的公用经费总额与预算安排的公用经费总额的比率，用以反映和考核部门（单位）对机构运转成本的实际控制程度。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“三公”经费控制率</w:t>
            </w:r>
            <w:r>
              <w:rPr>
                <w:rFonts w:ascii="宋体" w:hAnsi="宋体" w:cs="宋体"/>
                <w:kern w:val="0"/>
              </w:rPr>
              <w:t>=</w:t>
            </w:r>
            <w:r>
              <w:rPr>
                <w:rFonts w:hint="eastAsia" w:ascii="宋体" w:hAnsi="宋体" w:cs="宋体"/>
                <w:kern w:val="0"/>
              </w:rPr>
              <w:t>“三公”经费实际支出数</w:t>
            </w:r>
            <w:r>
              <w:rPr>
                <w:rFonts w:ascii="宋体" w:hAnsi="宋体" w:cs="宋体"/>
                <w:kern w:val="0"/>
              </w:rPr>
              <w:t>/</w:t>
            </w:r>
            <w:r>
              <w:rPr>
                <w:rFonts w:hint="eastAsia" w:ascii="宋体" w:hAnsi="宋体" w:cs="宋体"/>
                <w:kern w:val="0"/>
              </w:rPr>
              <w:t>“三公”经费预算安排数×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“三公”经费控制率＜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hAnsi="宋体" w:cs="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r>
              <w:rPr>
                <w:rFonts w:ascii="宋体"/>
                <w:kern w:val="0"/>
              </w:rPr>
              <w:br w:type="textWrapping"/>
            </w:r>
            <w:r>
              <w:rPr>
                <w:rFonts w:ascii="宋体" w:hAnsi="宋体" w:cs="宋体"/>
                <w:kern w:val="0"/>
              </w:rPr>
              <w:t xml:space="preserve">    2. </w:t>
            </w:r>
            <w:r>
              <w:rPr>
                <w:rFonts w:hint="eastAsia" w:ascii="宋体" w:hAnsi="宋体" w:cs="宋体"/>
                <w:kern w:val="0"/>
              </w:rPr>
              <w:t>日常公用经费控制率</w:t>
            </w:r>
            <w:r>
              <w:rPr>
                <w:rFonts w:ascii="宋体" w:hAnsi="宋体" w:cs="宋体"/>
                <w:kern w:val="0"/>
              </w:rPr>
              <w:t>=</w:t>
            </w:r>
            <w:r>
              <w:rPr>
                <w:rFonts w:hint="eastAsia" w:ascii="宋体" w:hAnsi="宋体" w:cs="宋体"/>
                <w:kern w:val="0"/>
              </w:rPr>
              <w:t>日常公用经费决算数</w:t>
            </w:r>
            <w:r>
              <w:rPr>
                <w:rFonts w:ascii="宋体" w:hAnsi="宋体" w:cs="宋体"/>
                <w:kern w:val="0"/>
              </w:rPr>
              <w:t>/</w:t>
            </w:r>
            <w:r>
              <w:rPr>
                <w:rFonts w:hint="eastAsia" w:ascii="宋体" w:hAnsi="宋体" w:cs="宋体"/>
                <w:kern w:val="0"/>
              </w:rPr>
              <w:t>日常公用经费调整预算数×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日常公用经费控制率＜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20" w:lineRule="exact"/>
            </w:pPr>
            <w:r>
              <w:rPr>
                <w:rFonts w:hint="eastAsia"/>
              </w:rPr>
              <w:t>扣分原因：公用经费调整预算数为23.23万元，决算数为23.23万元，日常公用经费控制率为100%。</w:t>
            </w:r>
          </w:p>
          <w:p>
            <w:pPr>
              <w:widowControl/>
              <w:spacing w:line="320" w:lineRule="exact"/>
            </w:pPr>
            <w:r>
              <w:rPr>
                <w:rFonts w:hint="eastAsia" w:ascii="宋体" w:hAnsi="宋体" w:cs="宋体"/>
                <w:kern w:val="0"/>
              </w:rPr>
              <w:t>改进措施：牢固树立“过紧日子”思想，进一步压减一般性支出。</w:t>
            </w:r>
          </w:p>
        </w:tc>
      </w:tr>
      <w:tr>
        <w:tblPrEx>
          <w:tblCellMar>
            <w:top w:w="0" w:type="dxa"/>
            <w:left w:w="108" w:type="dxa"/>
            <w:bottom w:w="0" w:type="dxa"/>
            <w:right w:w="108" w:type="dxa"/>
          </w:tblCellMar>
        </w:tblPrEx>
        <w:trPr>
          <w:trHeight w:val="27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kern w:val="0"/>
              </w:rPr>
            </w:pPr>
            <w:r>
              <w:rPr>
                <w:rFonts w:hint="eastAsia" w:ascii="宋体" w:hAnsi="宋体" w:cs="宋体"/>
                <w:kern w:val="0"/>
              </w:rPr>
              <w:t>效率性</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预算执行率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部门（单位）部门预算实际支付进度和既定支付进度的匹配情况，反映和考核部门（单位）预算执行的及时性和均衡性。</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1.</w:t>
            </w:r>
            <w:r>
              <w:rPr>
                <w:rFonts w:hint="eastAsia" w:ascii="宋体" w:hAnsi="宋体" w:cs="宋体"/>
                <w:kern w:val="0"/>
              </w:rPr>
              <w:t>一季度预算执行率得分</w:t>
            </w:r>
            <w:r>
              <w:rPr>
                <w:rFonts w:ascii="宋体" w:hAnsi="宋体" w:cs="宋体"/>
                <w:kern w:val="0"/>
              </w:rPr>
              <w:t>=</w:t>
            </w:r>
            <w:r>
              <w:rPr>
                <w:rFonts w:hint="eastAsia" w:ascii="宋体" w:hAnsi="宋体" w:cs="宋体"/>
                <w:kern w:val="0"/>
              </w:rPr>
              <w:t>（一季度部门预算支出进度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25%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2.</w:t>
            </w:r>
            <w:r>
              <w:rPr>
                <w:rFonts w:hint="eastAsia" w:ascii="宋体" w:hAnsi="宋体" w:cs="宋体"/>
                <w:kern w:val="0"/>
              </w:rPr>
              <w:t>二季度预算执行率得分</w:t>
            </w:r>
            <w:r>
              <w:rPr>
                <w:rFonts w:ascii="宋体" w:hAnsi="宋体" w:cs="宋体"/>
                <w:kern w:val="0"/>
              </w:rPr>
              <w:t>=</w:t>
            </w:r>
            <w:r>
              <w:rPr>
                <w:rFonts w:hint="eastAsia" w:ascii="宋体" w:hAnsi="宋体" w:cs="宋体"/>
                <w:kern w:val="0"/>
              </w:rPr>
              <w:t>（二季度部门预算支出进度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50%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3.</w:t>
            </w:r>
            <w:r>
              <w:rPr>
                <w:rFonts w:hint="eastAsia" w:ascii="宋体" w:hAnsi="宋体" w:cs="宋体"/>
                <w:kern w:val="0"/>
              </w:rPr>
              <w:t>三季度预算执行率得分</w:t>
            </w:r>
            <w:r>
              <w:rPr>
                <w:rFonts w:ascii="宋体" w:hAnsi="宋体" w:cs="宋体"/>
                <w:kern w:val="0"/>
              </w:rPr>
              <w:t>=</w:t>
            </w:r>
            <w:r>
              <w:rPr>
                <w:rFonts w:hint="eastAsia" w:ascii="宋体" w:hAnsi="宋体" w:cs="宋体"/>
                <w:kern w:val="0"/>
              </w:rPr>
              <w:t>（三季度部门预算支出进度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75%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4.</w:t>
            </w:r>
            <w:r>
              <w:rPr>
                <w:rFonts w:hint="eastAsia" w:ascii="宋体" w:hAnsi="宋体" w:cs="宋体"/>
                <w:kern w:val="0"/>
              </w:rPr>
              <w:t>四季度预算执行率得分</w:t>
            </w:r>
            <w:r>
              <w:rPr>
                <w:rFonts w:ascii="宋体" w:hAnsi="宋体" w:cs="宋体"/>
                <w:kern w:val="0"/>
              </w:rPr>
              <w:t>=</w:t>
            </w:r>
            <w:r>
              <w:rPr>
                <w:rFonts w:hint="eastAsia" w:ascii="宋体" w:hAnsi="宋体" w:cs="宋体"/>
                <w:kern w:val="0"/>
              </w:rPr>
              <w:t>（四季度部门预算支出进度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5.</w:t>
            </w:r>
            <w:r>
              <w:rPr>
                <w:rFonts w:hint="eastAsia" w:ascii="宋体" w:hAnsi="宋体" w:cs="宋体"/>
                <w:kern w:val="0"/>
              </w:rPr>
              <w:t>全年平均支出进度得分</w:t>
            </w:r>
            <w:r>
              <w:rPr>
                <w:rFonts w:ascii="宋体" w:hAnsi="宋体" w:cs="宋体"/>
                <w:kern w:val="0"/>
              </w:rPr>
              <w:t>=</w:t>
            </w:r>
            <w:r>
              <w:rPr>
                <w:rFonts w:hint="eastAsia" w:ascii="宋体" w:hAnsi="宋体" w:cs="宋体"/>
                <w:kern w:val="0"/>
              </w:rPr>
              <w:t>全年平均执行率×</w:t>
            </w:r>
            <w:r>
              <w:rPr>
                <w:rFonts w:ascii="宋体" w:hAnsi="宋体" w:cs="宋体"/>
                <w:kern w:val="0"/>
              </w:rPr>
              <w:t>2</w:t>
            </w:r>
            <w:r>
              <w:rPr>
                <w:rFonts w:hint="eastAsia" w:ascii="宋体" w:hAnsi="宋体" w:cs="宋体"/>
                <w:kern w:val="0"/>
              </w:rPr>
              <w:t>分，最高得</w:t>
            </w:r>
            <w:r>
              <w:rPr>
                <w:rFonts w:ascii="宋体" w:hAnsi="宋体" w:cs="宋体"/>
                <w:kern w:val="0"/>
              </w:rPr>
              <w:t>2</w:t>
            </w:r>
            <w:r>
              <w:rPr>
                <w:rFonts w:hint="eastAsia" w:ascii="宋体" w:hAnsi="宋体" w:cs="宋体"/>
                <w:kern w:val="0"/>
              </w:rPr>
              <w:t>分。</w:t>
            </w:r>
          </w:p>
          <w:p>
            <w:pPr>
              <w:widowControl/>
              <w:spacing w:line="320" w:lineRule="exact"/>
              <w:ind w:firstLine="405"/>
              <w:rPr>
                <w:rFonts w:ascii="宋体" w:hAnsi="宋体" w:cs="宋体"/>
                <w:kern w:val="0"/>
              </w:rPr>
            </w:pPr>
            <w:r>
              <w:rPr>
                <w:rFonts w:hint="eastAsia" w:ascii="宋体" w:hAnsi="宋体" w:cs="宋体"/>
                <w:kern w:val="0"/>
              </w:rPr>
              <w:t>其中：全年平均执行率</w:t>
            </w:r>
            <w:r>
              <w:rPr>
                <w:rFonts w:ascii="宋体" w:hAnsi="宋体" w:cs="宋体"/>
                <w:kern w:val="0"/>
              </w:rPr>
              <w:t>=</w:t>
            </w:r>
            <w:r>
              <w:rPr>
                <w:rFonts w:hint="eastAsia" w:ascii="宋体" w:hAnsi="宋体" w:cs="宋体"/>
                <w:kern w:val="0"/>
              </w:rPr>
              <w:t>∑（每个季度的执行率）÷</w:t>
            </w:r>
            <w:r>
              <w:rPr>
                <w:rFonts w:ascii="宋体" w:hAnsi="宋体" w:cs="宋体"/>
                <w:kern w:val="0"/>
              </w:rPr>
              <w:t>4</w:t>
            </w:r>
          </w:p>
          <w:p>
            <w:pPr>
              <w:widowControl/>
              <w:spacing w:line="320" w:lineRule="exact"/>
              <w:rPr>
                <w:rFonts w:ascii="宋体"/>
                <w:kern w:val="0"/>
              </w:rPr>
            </w:pPr>
            <w:r>
              <w:rPr>
                <w:rFonts w:hint="eastAsia" w:ascii="宋体" w:hAnsi="宋体" w:cs="宋体"/>
                <w:kern w:val="0"/>
              </w:rPr>
              <w:t>季度支出进度</w:t>
            </w:r>
            <w:r>
              <w:rPr>
                <w:rFonts w:ascii="宋体" w:hAnsi="宋体" w:cs="宋体"/>
                <w:kern w:val="0"/>
              </w:rPr>
              <w:t>=</w:t>
            </w:r>
            <w:r>
              <w:rPr>
                <w:rFonts w:hint="eastAsia" w:ascii="宋体" w:hAnsi="宋体" w:cs="宋体"/>
                <w:kern w:val="0"/>
              </w:rPr>
              <w:t>季度末月份累计支出进度（即</w:t>
            </w:r>
            <w:r>
              <w:rPr>
                <w:rFonts w:ascii="宋体" w:hAnsi="宋体" w:cs="宋体"/>
                <w:kern w:val="0"/>
              </w:rPr>
              <w:t>3</w:t>
            </w:r>
            <w:r>
              <w:rPr>
                <w:rFonts w:hint="eastAsia" w:ascii="宋体" w:hAnsi="宋体" w:cs="宋体"/>
                <w:kern w:val="0"/>
              </w:rPr>
              <w:t>、</w:t>
            </w:r>
            <w:r>
              <w:rPr>
                <w:rFonts w:ascii="宋体" w:hAnsi="宋体" w:cs="宋体"/>
                <w:kern w:val="0"/>
              </w:rPr>
              <w:t>6</w:t>
            </w:r>
            <w:r>
              <w:rPr>
                <w:rFonts w:hint="eastAsia" w:ascii="宋体" w:hAnsi="宋体" w:cs="宋体"/>
                <w:kern w:val="0"/>
              </w:rPr>
              <w:t>、</w:t>
            </w:r>
            <w:r>
              <w:rPr>
                <w:rFonts w:ascii="宋体" w:hAnsi="宋体" w:cs="宋体"/>
                <w:kern w:val="0"/>
              </w:rPr>
              <w:t>9</w:t>
            </w:r>
            <w:r>
              <w:rPr>
                <w:rFonts w:hint="eastAsia" w:ascii="宋体" w:hAnsi="宋体" w:cs="宋体"/>
                <w:kern w:val="0"/>
              </w:rPr>
              <w:t>、</w:t>
            </w:r>
            <w:r>
              <w:rPr>
                <w:rFonts w:ascii="宋体" w:hAnsi="宋体" w:cs="宋体"/>
                <w:kern w:val="0"/>
              </w:rPr>
              <w:t>12</w:t>
            </w:r>
            <w:r>
              <w:rPr>
                <w:rFonts w:hint="eastAsia" w:ascii="宋体" w:hAnsi="宋体" w:cs="宋体"/>
                <w:kern w:val="0"/>
              </w:rPr>
              <w:t>月月末支出进度）</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5.24</w:t>
            </w:r>
          </w:p>
        </w:tc>
        <w:tc>
          <w:tcPr>
            <w:tcW w:w="2297" w:type="dxa"/>
            <w:tcBorders>
              <w:top w:val="nil"/>
              <w:left w:val="nil"/>
              <w:bottom w:val="single" w:color="auto" w:sz="4" w:space="0"/>
              <w:right w:val="single" w:color="auto" w:sz="4" w:space="0"/>
            </w:tcBorders>
          </w:tcPr>
          <w:p>
            <w:pPr>
              <w:widowControl/>
              <w:spacing w:line="320" w:lineRule="exact"/>
            </w:pPr>
            <w:r>
              <w:rPr>
                <w:rFonts w:hint="eastAsia"/>
              </w:rPr>
              <w:t>扣分原因：四个季度执行率分别为17</w:t>
            </w:r>
            <w:r>
              <w:t>%</w:t>
            </w:r>
            <w:r>
              <w:rPr>
                <w:rFonts w:hint="eastAsia"/>
              </w:rPr>
              <w:t>、46</w:t>
            </w:r>
            <w:r>
              <w:t>%</w:t>
            </w:r>
            <w:r>
              <w:rPr>
                <w:rFonts w:hint="eastAsia"/>
              </w:rPr>
              <w:t>、67.4</w:t>
            </w:r>
            <w:r>
              <w:t>%</w:t>
            </w:r>
            <w:r>
              <w:rPr>
                <w:rFonts w:hint="eastAsia"/>
              </w:rPr>
              <w:t>、99.6</w:t>
            </w:r>
            <w:r>
              <w:t>%</w:t>
            </w:r>
            <w:r>
              <w:rPr>
                <w:rFonts w:hint="eastAsia"/>
              </w:rPr>
              <w:t>。全年全年平均执行率87.37%。</w:t>
            </w:r>
          </w:p>
          <w:p>
            <w:pPr>
              <w:pStyle w:val="2"/>
              <w:ind w:firstLine="0" w:firstLineChars="0"/>
            </w:pPr>
            <w:r>
              <w:rPr>
                <w:rFonts w:hint="eastAsia" w:ascii="宋体" w:hAnsi="宋体" w:cs="宋体"/>
                <w:kern w:val="0"/>
              </w:rPr>
              <w:t>改进措施：</w:t>
            </w:r>
            <w:r>
              <w:rPr>
                <w:rFonts w:hint="eastAsia"/>
              </w:rPr>
              <w:t>做好</w:t>
            </w:r>
            <w:r>
              <w:rPr>
                <w:rFonts w:hint="default"/>
              </w:rPr>
              <w:t>绩效</w:t>
            </w:r>
            <w:r>
              <w:rPr>
                <w:rFonts w:hint="eastAsia"/>
              </w:rPr>
              <w:t>运行监控，针对偏差进行分析，查找原因，做好趋势预判，并及时纠偏。</w:t>
            </w:r>
          </w:p>
        </w:tc>
      </w:tr>
      <w:tr>
        <w:tblPrEx>
          <w:tblCellMar>
            <w:top w:w="0" w:type="dxa"/>
            <w:left w:w="108" w:type="dxa"/>
            <w:bottom w:w="0" w:type="dxa"/>
            <w:right w:w="108" w:type="dxa"/>
          </w:tblCellMar>
        </w:tblPrEx>
        <w:trPr>
          <w:trHeight w:val="140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重点工作完成情况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color w:val="000000"/>
                <w:kern w:val="0"/>
              </w:rPr>
            </w:pPr>
            <w:r>
              <w:rPr>
                <w:rFonts w:hint="eastAsia" w:ascii="宋体" w:hAnsi="宋体" w:cs="宋体"/>
                <w:color w:val="000000"/>
                <w:kern w:val="0"/>
              </w:rPr>
              <w:t>部门（单位）完成党委、政府和上级部门下达或交办的重要事项或工作的完成情况，反映部门对重点工作的办理落实程度。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hint="eastAsia" w:ascii="宋体" w:hAnsi="宋体" w:cs="宋体"/>
                <w:kern w:val="0"/>
              </w:rPr>
              <w:t>重点工作是指中央和省、市相关部门、</w:t>
            </w:r>
            <w:r>
              <w:rPr>
                <w:rFonts w:hint="eastAsia" w:ascii="宋体" w:hAnsi="宋体" w:cs="宋体"/>
                <w:kern w:val="0"/>
                <w:lang w:eastAsia="zh-CN"/>
              </w:rPr>
              <w:t>新区党工委、管委会</w:t>
            </w:r>
            <w:r>
              <w:rPr>
                <w:rFonts w:hint="eastAsia" w:ascii="宋体" w:hAnsi="宋体" w:cs="宋体"/>
                <w:kern w:val="0"/>
              </w:rPr>
              <w:t>交办或下达的工作任务。全部按期保质保量完成得</w:t>
            </w:r>
            <w:r>
              <w:rPr>
                <w:rFonts w:ascii="宋体" w:hAnsi="宋体" w:cs="宋体"/>
                <w:kern w:val="0"/>
              </w:rPr>
              <w:t>8</w:t>
            </w:r>
            <w:r>
              <w:rPr>
                <w:rFonts w:hint="eastAsia" w:ascii="宋体" w:hAnsi="宋体" w:cs="宋体"/>
                <w:kern w:val="0"/>
              </w:rPr>
              <w:t>分；一项重点工作没有完成扣</w:t>
            </w:r>
            <w:r>
              <w:rPr>
                <w:rFonts w:ascii="宋体" w:hAnsi="宋体" w:cs="宋体"/>
                <w:kern w:val="0"/>
              </w:rPr>
              <w:t>4</w:t>
            </w:r>
            <w:r>
              <w:rPr>
                <w:rFonts w:hint="eastAsia" w:ascii="宋体" w:hAnsi="宋体" w:cs="宋体"/>
                <w:kern w:val="0"/>
              </w:rPr>
              <w:t>分，扣完为止。</w:t>
            </w:r>
          </w:p>
          <w:p>
            <w:pPr>
              <w:widowControl/>
              <w:spacing w:line="320" w:lineRule="exact"/>
              <w:rPr>
                <w:rFonts w:ascii="宋体"/>
                <w:kern w:val="0"/>
              </w:rPr>
            </w:pPr>
            <w:r>
              <w:rPr>
                <w:rFonts w:hint="eastAsia" w:ascii="宋体" w:hAnsi="宋体" w:cs="宋体"/>
                <w:kern w:val="0"/>
              </w:rPr>
              <w:t>注：重点工作完成情况可以参考</w:t>
            </w:r>
            <w:r>
              <w:rPr>
                <w:rFonts w:hint="eastAsia" w:ascii="宋体" w:hAnsi="宋体" w:cs="宋体"/>
                <w:kern w:val="0"/>
                <w:lang w:eastAsia="zh-CN"/>
              </w:rPr>
              <w:t>新区党工委、管委会</w:t>
            </w:r>
            <w:r>
              <w:rPr>
                <w:rFonts w:hint="eastAsia" w:ascii="宋体" w:hAnsi="宋体" w:cs="宋体"/>
                <w:kern w:val="0"/>
              </w:rPr>
              <w:t>督查部门或其他权威部门的统计数据（如有）。</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15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sz w:val="18"/>
                <w:szCs w:val="18"/>
              </w:rPr>
            </w:pPr>
            <w:r>
              <w:rPr>
                <w:rFonts w:hint="eastAsia" w:ascii="宋体" w:hAnsi="宋体" w:cs="宋体"/>
                <w:kern w:val="0"/>
              </w:rPr>
              <w:t>项目完成及时性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sz w:val="18"/>
                <w:szCs w:val="18"/>
              </w:rPr>
            </w:pPr>
            <w:r>
              <w:rPr>
                <w:rFonts w:hint="eastAsia" w:ascii="宋体" w:hAnsi="宋体" w:cs="宋体"/>
                <w:kern w:val="0"/>
              </w:rPr>
              <w:t>部门（单位）项目完成情况与预期时间对比的情况。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sz w:val="18"/>
                <w:szCs w:val="18"/>
              </w:rPr>
            </w:pPr>
            <w:r>
              <w:rPr>
                <w:rFonts w:ascii="宋体" w:hAnsi="宋体" w:cs="宋体"/>
                <w:kern w:val="0"/>
              </w:rPr>
              <w:t>1.</w:t>
            </w:r>
            <w:r>
              <w:rPr>
                <w:rFonts w:hint="eastAsia" w:ascii="宋体" w:hAnsi="宋体" w:cs="宋体"/>
                <w:kern w:val="0"/>
              </w:rPr>
              <w:t>所有部门预算安排的项目均按计划时间完成（</w:t>
            </w:r>
            <w:r>
              <w:rPr>
                <w:rFonts w:ascii="宋体" w:hAnsi="宋体" w:cs="宋体"/>
                <w:kern w:val="0"/>
              </w:rPr>
              <w:t>6</w:t>
            </w:r>
            <w:r>
              <w:rPr>
                <w:rFonts w:hint="eastAsia" w:ascii="宋体" w:hAnsi="宋体" w:cs="宋体"/>
                <w:kern w:val="0"/>
              </w:rPr>
              <w:t>分）；</w:t>
            </w:r>
          </w:p>
          <w:p>
            <w:pPr>
              <w:widowControl/>
              <w:spacing w:line="320" w:lineRule="exact"/>
              <w:ind w:firstLine="420" w:firstLineChars="200"/>
              <w:rPr>
                <w:rFonts w:ascii="宋体"/>
                <w:kern w:val="0"/>
                <w:sz w:val="18"/>
                <w:szCs w:val="18"/>
              </w:rPr>
            </w:pPr>
            <w:r>
              <w:rPr>
                <w:rFonts w:ascii="宋体" w:hAnsi="宋体" w:cs="宋体"/>
                <w:kern w:val="0"/>
              </w:rPr>
              <w:t>2.</w:t>
            </w:r>
            <w:r>
              <w:rPr>
                <w:rFonts w:hint="eastAsia" w:ascii="宋体" w:hAnsi="宋体" w:cs="宋体"/>
                <w:kern w:val="0"/>
              </w:rPr>
              <w:t>部分项目未按计划时间完成的，本指标得分</w:t>
            </w:r>
            <w:r>
              <w:rPr>
                <w:rFonts w:ascii="宋体" w:hAnsi="宋体" w:cs="宋体"/>
                <w:kern w:val="0"/>
              </w:rPr>
              <w:t>=</w:t>
            </w:r>
            <w:r>
              <w:rPr>
                <w:rFonts w:hint="eastAsia" w:ascii="宋体" w:hAnsi="宋体" w:cs="宋体"/>
                <w:kern w:val="0"/>
              </w:rPr>
              <w:t>已完成项目数</w:t>
            </w:r>
            <w:r>
              <w:rPr>
                <w:rFonts w:ascii="宋体" w:hAnsi="宋体" w:cs="宋体"/>
                <w:kern w:val="0"/>
              </w:rPr>
              <w:t>/</w:t>
            </w:r>
            <w:r>
              <w:rPr>
                <w:rFonts w:hint="eastAsia" w:ascii="宋体" w:hAnsi="宋体" w:cs="宋体"/>
                <w:kern w:val="0"/>
              </w:rPr>
              <w:t>计划完成项目总数×</w:t>
            </w:r>
            <w:r>
              <w:rPr>
                <w:rFonts w:ascii="宋体" w:hAnsi="宋体" w:cs="宋体"/>
                <w:kern w:val="0"/>
              </w:rPr>
              <w:t>6</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200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效果性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社会、经济、生态效益及可持续影响等</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部门（单位）履行职责、完成各项重大政策和项目的效果，以及对经济发展、社会发展、生态环境所带来的直接或间接影响。</w:t>
            </w:r>
          </w:p>
        </w:tc>
        <w:tc>
          <w:tcPr>
            <w:tcW w:w="5812" w:type="dxa"/>
            <w:tcBorders>
              <w:top w:val="nil"/>
              <w:left w:val="nil"/>
              <w:bottom w:val="single" w:color="auto" w:sz="4" w:space="0"/>
              <w:right w:val="single" w:color="auto" w:sz="4" w:space="0"/>
            </w:tcBorders>
            <w:vAlign w:val="center"/>
          </w:tcPr>
          <w:p>
            <w:pPr>
              <w:widowControl/>
              <w:spacing w:line="320" w:lineRule="exact"/>
              <w:ind w:firstLine="405"/>
            </w:pPr>
            <w:r>
              <w:rPr>
                <w:rFonts w:hint="eastAsia"/>
              </w:rPr>
              <w:t>根据部门（单位）职责，结合部门整体支出绩效目标，合理设置个性化绩效指标，通过绩效指标完成情况与目标值对比分析进行评分，未实现绩效目标的酌情扣分。</w:t>
            </w:r>
          </w:p>
          <w:p>
            <w:pPr>
              <w:widowControl/>
              <w:spacing w:line="320" w:lineRule="exact"/>
              <w:ind w:firstLine="405"/>
            </w:pPr>
            <w:r>
              <w:rPr>
                <w:rFonts w:hint="eastAsia"/>
              </w:rPr>
              <w:t>根据部门（部门）履职内容和性质，从社会效益、经济效益、生态效益、可持续影响等方面，至少选择三个方面对工作实效和效益进行评价。</w:t>
            </w:r>
          </w:p>
          <w:p>
            <w:pPr>
              <w:pStyle w:val="2"/>
              <w:ind w:firstLine="210"/>
            </w:pPr>
            <w:r>
              <w:rPr>
                <w:rFonts w:hint="eastAsia"/>
              </w:rPr>
              <w:t>1.提升党建工作水平，以党建引领推进保教质量向纵深发展（4分）；</w:t>
            </w:r>
          </w:p>
          <w:p>
            <w:pPr>
              <w:pStyle w:val="2"/>
              <w:ind w:firstLine="210"/>
            </w:pPr>
            <w:r>
              <w:rPr>
                <w:rFonts w:hint="eastAsia"/>
              </w:rPr>
              <w:t>2.重视教师队伍建设，尤其是师德师风建设，全面提升教师素养，促进幼儿园办学水平和公众形象提升（4分）；</w:t>
            </w:r>
          </w:p>
          <w:p>
            <w:pPr>
              <w:pStyle w:val="2"/>
              <w:ind w:firstLine="210"/>
            </w:pPr>
            <w:r>
              <w:rPr>
                <w:rFonts w:hint="eastAsia"/>
              </w:rPr>
              <w:t>3.积极开展课题研究，充分发挥公办园辐射示范引领作用（4分）；</w:t>
            </w:r>
          </w:p>
          <w:p>
            <w:pPr>
              <w:pStyle w:val="2"/>
              <w:ind w:firstLine="210"/>
            </w:pPr>
            <w:r>
              <w:rPr>
                <w:rFonts w:hint="eastAsia"/>
              </w:rPr>
              <w:t>4.细化规范后勤管理，提升后勤服务能力，有效保障幼儿园保教保育工作和疫情防控（4分）；</w:t>
            </w:r>
          </w:p>
          <w:p>
            <w:pPr>
              <w:pStyle w:val="2"/>
              <w:ind w:firstLine="210"/>
            </w:pPr>
            <w:r>
              <w:rPr>
                <w:rFonts w:hint="eastAsia"/>
              </w:rPr>
              <w:t>5.扎实安全管理，确保师生平安，校园安全</w:t>
            </w:r>
            <w:r>
              <w:rPr>
                <w:rFonts w:hint="default"/>
              </w:rPr>
              <w:t>零</w:t>
            </w:r>
            <w:r>
              <w:rPr>
                <w:rFonts w:hint="eastAsia"/>
              </w:rPr>
              <w:t>事故（4分）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20</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2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公平性</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9</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群众信访办理情况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部门（单位）对群众信访意见的完成情况及及时性，反映部门（单位）对服务群众的重视程度。</w:t>
            </w:r>
          </w:p>
        </w:tc>
        <w:tc>
          <w:tcPr>
            <w:tcW w:w="5812" w:type="dxa"/>
            <w:tcBorders>
              <w:top w:val="nil"/>
              <w:left w:val="nil"/>
              <w:bottom w:val="single" w:color="auto" w:sz="4" w:space="0"/>
              <w:right w:val="single" w:color="auto" w:sz="4" w:space="0"/>
            </w:tcBorders>
            <w:vAlign w:val="center"/>
          </w:tcPr>
          <w:p>
            <w:pPr>
              <w:widowControl/>
              <w:spacing w:line="320" w:lineRule="exact"/>
              <w:ind w:firstLine="315" w:firstLineChars="150"/>
              <w:rPr>
                <w:rFonts w:ascii="宋体"/>
                <w:kern w:val="0"/>
              </w:rPr>
            </w:pPr>
            <w:r>
              <w:rPr>
                <w:rFonts w:ascii="宋体" w:hAnsi="宋体" w:cs="宋体"/>
                <w:kern w:val="0"/>
              </w:rPr>
              <w:t>1.</w:t>
            </w:r>
            <w:r>
              <w:rPr>
                <w:rFonts w:hint="eastAsia" w:ascii="宋体" w:hAnsi="宋体" w:cs="宋体"/>
                <w:kern w:val="0"/>
              </w:rPr>
              <w:t>建立了便利的群众意见反映渠道和群众意见办理回复机制（</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当年度群众信访办理回复率达</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3.</w:t>
            </w:r>
            <w:r>
              <w:rPr>
                <w:rFonts w:hint="eastAsia" w:ascii="宋体" w:hAnsi="宋体" w:cs="宋体"/>
                <w:kern w:val="0"/>
              </w:rPr>
              <w:t>当年度群众信访及时办理回复率达</w:t>
            </w:r>
            <w:r>
              <w:rPr>
                <w:rFonts w:ascii="宋体" w:hAnsi="宋体" w:cs="宋体"/>
                <w:kern w:val="0"/>
              </w:rPr>
              <w:t>100%</w:t>
            </w:r>
            <w:r>
              <w:rPr>
                <w:rFonts w:hint="eastAsia" w:ascii="宋体" w:hAnsi="宋体" w:cs="宋体"/>
                <w:kern w:val="0"/>
              </w:rPr>
              <w:t>，未发生超期（</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315" w:firstLineChars="150"/>
              <w:rPr>
                <w:rFonts w:ascii="宋体" w:hAnsi="宋体" w:cs="宋体"/>
                <w:kern w:val="0"/>
              </w:rPr>
            </w:pPr>
          </w:p>
        </w:tc>
      </w:tr>
      <w:tr>
        <w:tblPrEx>
          <w:tblCellMar>
            <w:top w:w="0" w:type="dxa"/>
            <w:left w:w="108" w:type="dxa"/>
            <w:bottom w:w="0" w:type="dxa"/>
            <w:right w:w="108" w:type="dxa"/>
          </w:tblCellMar>
        </w:tblPrEx>
        <w:trPr>
          <w:trHeight w:val="1401" w:hRule="atLeast"/>
        </w:trPr>
        <w:tc>
          <w:tcPr>
            <w:tcW w:w="57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851" w:type="dxa"/>
            <w:tcBorders>
              <w:top w:val="nil"/>
              <w:left w:val="nil"/>
              <w:bottom w:val="nil"/>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公众或服务对象满意度</w:t>
            </w:r>
          </w:p>
        </w:tc>
        <w:tc>
          <w:tcPr>
            <w:tcW w:w="567" w:type="dxa"/>
            <w:tcBorders>
              <w:top w:val="nil"/>
              <w:left w:val="nil"/>
              <w:bottom w:val="nil"/>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nil"/>
              <w:right w:val="single" w:color="auto" w:sz="4" w:space="0"/>
            </w:tcBorders>
            <w:vAlign w:val="center"/>
          </w:tcPr>
          <w:p>
            <w:pPr>
              <w:widowControl/>
              <w:spacing w:line="320" w:lineRule="exact"/>
              <w:rPr>
                <w:rFonts w:ascii="宋体"/>
                <w:kern w:val="0"/>
              </w:rPr>
            </w:pPr>
            <w:r>
              <w:rPr>
                <w:rFonts w:hint="eastAsia" w:ascii="宋体" w:hAnsi="宋体" w:cs="宋体"/>
                <w:kern w:val="0"/>
              </w:rPr>
              <w:t>反映社会公众或部门（单位）的服务对象对部门履职效果的满意度。</w:t>
            </w:r>
          </w:p>
        </w:tc>
        <w:tc>
          <w:tcPr>
            <w:tcW w:w="5812" w:type="dxa"/>
            <w:tcBorders>
              <w:top w:val="nil"/>
              <w:left w:val="nil"/>
              <w:bottom w:val="nil"/>
              <w:right w:val="single" w:color="auto" w:sz="4" w:space="0"/>
            </w:tcBorders>
            <w:vAlign w:val="center"/>
          </w:tcPr>
          <w:p>
            <w:pPr>
              <w:widowControl/>
              <w:spacing w:line="320" w:lineRule="exact"/>
              <w:ind w:firstLine="420"/>
              <w:rPr>
                <w:rFonts w:ascii="宋体"/>
                <w:kern w:val="0"/>
              </w:rPr>
            </w:pPr>
            <w:r>
              <w:rPr>
                <w:rFonts w:hint="eastAsia" w:ascii="宋体" w:hAnsi="宋体" w:cs="宋体"/>
                <w:kern w:val="0"/>
              </w:rPr>
              <w:t>社会公众或服务对象是指部门（单位）履行职责而影响到的部门、群体或个人，一般采取社会调查的方式。如难以单独开展满意度调查的，可参考区统计部门的数据、年度区直民主评议政风行风评价结果等数据，或者参考群众信访反馈的普遍性问题、本部门或权威第三方机构的开展满意度调查等进行分档计分。</w:t>
            </w:r>
          </w:p>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6</w:t>
            </w:r>
            <w:r>
              <w:rPr>
                <w:rFonts w:hint="eastAsia" w:ascii="宋体" w:hAnsi="宋体" w:cs="宋体"/>
                <w:kern w:val="0"/>
              </w:rPr>
              <w:t>分；</w:t>
            </w:r>
          </w:p>
          <w:p>
            <w:pPr>
              <w:widowControl/>
              <w:spacing w:line="320" w:lineRule="exact"/>
              <w:ind w:firstLine="420"/>
              <w:rPr>
                <w:rFonts w:ascii="宋体"/>
                <w:kern w:val="0"/>
              </w:rPr>
            </w:pPr>
            <w:r>
              <w:rPr>
                <w:rFonts w:ascii="宋体" w:cs="宋体"/>
                <w:kern w:val="0"/>
              </w:rPr>
              <w:t>2.</w:t>
            </w:r>
            <w:r>
              <w:rPr>
                <w:rFonts w:ascii="宋体" w:hAnsi="宋体" w:cs="宋体"/>
                <w:kern w:val="0"/>
              </w:rPr>
              <w:t xml:space="preserve"> 90%</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4</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3. 80%</w:t>
            </w:r>
            <w:r>
              <w:rPr>
                <w:rFonts w:hint="eastAsia" w:ascii="宋体" w:hAnsi="宋体" w:cs="宋体"/>
                <w:kern w:val="0"/>
              </w:rPr>
              <w:t>≤满意度＜</w:t>
            </w:r>
            <w:r>
              <w:rPr>
                <w:rFonts w:ascii="宋体" w:hAnsi="宋体" w:cs="宋体"/>
                <w:kern w:val="0"/>
              </w:rPr>
              <w:t>90%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 xml:space="preserve">4. </w:t>
            </w:r>
            <w:r>
              <w:rPr>
                <w:rFonts w:hint="eastAsia" w:ascii="宋体" w:hAnsi="宋体" w:cs="宋体"/>
                <w:kern w:val="0"/>
              </w:rPr>
              <w:t>满意度＜</w:t>
            </w:r>
            <w:r>
              <w:rPr>
                <w:rFonts w:ascii="宋体" w:hAnsi="宋体" w:cs="宋体"/>
                <w:kern w:val="0"/>
              </w:rPr>
              <w:t>80%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tc>
        <w:tc>
          <w:tcPr>
            <w:tcW w:w="822" w:type="dxa"/>
            <w:tcBorders>
              <w:top w:val="nil"/>
              <w:left w:val="nil"/>
              <w:bottom w:val="nil"/>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nil"/>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05" w:hRule="atLeast"/>
        </w:trPr>
        <w:tc>
          <w:tcPr>
            <w:tcW w:w="12044" w:type="dxa"/>
            <w:gridSpan w:val="8"/>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20"/>
              <w:jc w:val="center"/>
              <w:rPr>
                <w:rFonts w:ascii="宋体" w:hAnsi="宋体" w:cs="宋体"/>
                <w:b/>
                <w:bCs/>
                <w:kern w:val="0"/>
              </w:rPr>
            </w:pPr>
            <w:r>
              <w:rPr>
                <w:rFonts w:hint="eastAsia" w:ascii="宋体" w:hAnsi="宋体" w:cs="宋体"/>
                <w:b/>
                <w:bCs/>
                <w:kern w:val="0"/>
              </w:rPr>
              <w:t>总得分情况</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96.24</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bl>
    <w:p>
      <w:pPr>
        <w:spacing w:line="320" w:lineRule="exact"/>
      </w:pPr>
      <w:r>
        <w:rPr>
          <w:rFonts w:hint="eastAsia" w:cs="宋体"/>
        </w:rPr>
        <w:t>附注：</w:t>
      </w:r>
      <w:r>
        <w:t>1.</w:t>
      </w:r>
      <w:r>
        <w:rPr>
          <w:rFonts w:hint="eastAsia" w:cs="宋体"/>
        </w:rPr>
        <w:t>《部门整体支出绩效评价共性指标体系框架》的适用对象是部门和单位；</w:t>
      </w:r>
    </w:p>
    <w:p>
      <w:pPr>
        <w:spacing w:line="320" w:lineRule="exact"/>
      </w:pPr>
      <w:r>
        <w:t xml:space="preserve">      2.</w:t>
      </w:r>
      <w:r>
        <w:rPr>
          <w:rFonts w:hint="eastAsia" w:cs="宋体"/>
        </w:rPr>
        <w:t>各项指标的分值是参考分值，各部门各单位在开展绩效评价时可结合不同评价对象的特点，赋予评价指标科学合理的权重分值，明确具体的评分标准。</w:t>
      </w:r>
    </w:p>
    <w:sectPr>
      <w:footerReference r:id="rId3" w:type="default"/>
      <w:pgSz w:w="16838" w:h="11906" w:orient="landscape"/>
      <w:pgMar w:top="709" w:right="820" w:bottom="1135" w:left="851" w:header="851" w:footer="680"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gxMmZjNWM5OTJlNjdlZWY2M2RkMDg4MjdkOWM4ZjYifQ=="/>
  </w:docVars>
  <w:rsids>
    <w:rsidRoot w:val="007C6A8D"/>
    <w:rsid w:val="0000021D"/>
    <w:rsid w:val="0001508B"/>
    <w:rsid w:val="00015287"/>
    <w:rsid w:val="00030032"/>
    <w:rsid w:val="0003488E"/>
    <w:rsid w:val="00060F08"/>
    <w:rsid w:val="0006427C"/>
    <w:rsid w:val="000757DF"/>
    <w:rsid w:val="00082E2F"/>
    <w:rsid w:val="000949DA"/>
    <w:rsid w:val="00096A12"/>
    <w:rsid w:val="000A7CF3"/>
    <w:rsid w:val="000B76E2"/>
    <w:rsid w:val="000C1693"/>
    <w:rsid w:val="000C7F39"/>
    <w:rsid w:val="000D311F"/>
    <w:rsid w:val="000D5ECC"/>
    <w:rsid w:val="000E1445"/>
    <w:rsid w:val="000E18C3"/>
    <w:rsid w:val="000E37D0"/>
    <w:rsid w:val="001030DE"/>
    <w:rsid w:val="00107641"/>
    <w:rsid w:val="0011023B"/>
    <w:rsid w:val="00132EBB"/>
    <w:rsid w:val="001404CB"/>
    <w:rsid w:val="00150867"/>
    <w:rsid w:val="00156F7B"/>
    <w:rsid w:val="0015721B"/>
    <w:rsid w:val="00157B50"/>
    <w:rsid w:val="001720CA"/>
    <w:rsid w:val="00176C84"/>
    <w:rsid w:val="00186083"/>
    <w:rsid w:val="00186AD9"/>
    <w:rsid w:val="001A4FCA"/>
    <w:rsid w:val="001B1562"/>
    <w:rsid w:val="001D282A"/>
    <w:rsid w:val="001D2C27"/>
    <w:rsid w:val="001E1A5E"/>
    <w:rsid w:val="001E702E"/>
    <w:rsid w:val="001F5AA4"/>
    <w:rsid w:val="00200398"/>
    <w:rsid w:val="002060CA"/>
    <w:rsid w:val="00211308"/>
    <w:rsid w:val="00215CE2"/>
    <w:rsid w:val="00230A29"/>
    <w:rsid w:val="00235966"/>
    <w:rsid w:val="0024228D"/>
    <w:rsid w:val="00246660"/>
    <w:rsid w:val="002656F4"/>
    <w:rsid w:val="0027677C"/>
    <w:rsid w:val="002856B3"/>
    <w:rsid w:val="002910E6"/>
    <w:rsid w:val="002A7700"/>
    <w:rsid w:val="002D2A14"/>
    <w:rsid w:val="002D6BC9"/>
    <w:rsid w:val="002E0FBC"/>
    <w:rsid w:val="00301F1E"/>
    <w:rsid w:val="00303233"/>
    <w:rsid w:val="00314E08"/>
    <w:rsid w:val="00321CA0"/>
    <w:rsid w:val="00323B8D"/>
    <w:rsid w:val="0033552A"/>
    <w:rsid w:val="0034451F"/>
    <w:rsid w:val="003577C2"/>
    <w:rsid w:val="00382649"/>
    <w:rsid w:val="00392CF9"/>
    <w:rsid w:val="00394B68"/>
    <w:rsid w:val="003A0F34"/>
    <w:rsid w:val="003A3AB8"/>
    <w:rsid w:val="003B1900"/>
    <w:rsid w:val="003B732D"/>
    <w:rsid w:val="003D0481"/>
    <w:rsid w:val="003D2DDA"/>
    <w:rsid w:val="003D5362"/>
    <w:rsid w:val="003E2490"/>
    <w:rsid w:val="003F0B00"/>
    <w:rsid w:val="003F3BCB"/>
    <w:rsid w:val="003F4059"/>
    <w:rsid w:val="004063FF"/>
    <w:rsid w:val="00415ED0"/>
    <w:rsid w:val="00433F78"/>
    <w:rsid w:val="00441673"/>
    <w:rsid w:val="00447BDD"/>
    <w:rsid w:val="00450535"/>
    <w:rsid w:val="00456A6D"/>
    <w:rsid w:val="00471023"/>
    <w:rsid w:val="004749E5"/>
    <w:rsid w:val="00477101"/>
    <w:rsid w:val="004805CE"/>
    <w:rsid w:val="004A3245"/>
    <w:rsid w:val="004A3334"/>
    <w:rsid w:val="004B47F6"/>
    <w:rsid w:val="004C3CA5"/>
    <w:rsid w:val="004D4B5F"/>
    <w:rsid w:val="004D70DA"/>
    <w:rsid w:val="00504CEC"/>
    <w:rsid w:val="0051517E"/>
    <w:rsid w:val="00567EEA"/>
    <w:rsid w:val="00574B4A"/>
    <w:rsid w:val="00581B3E"/>
    <w:rsid w:val="0058344B"/>
    <w:rsid w:val="005914C2"/>
    <w:rsid w:val="005A561A"/>
    <w:rsid w:val="005A7B7C"/>
    <w:rsid w:val="005C1A5C"/>
    <w:rsid w:val="005C793D"/>
    <w:rsid w:val="005D190A"/>
    <w:rsid w:val="005D6FD8"/>
    <w:rsid w:val="005D7EA1"/>
    <w:rsid w:val="005F0C07"/>
    <w:rsid w:val="005F5204"/>
    <w:rsid w:val="005F7406"/>
    <w:rsid w:val="00615072"/>
    <w:rsid w:val="006507E9"/>
    <w:rsid w:val="0065716A"/>
    <w:rsid w:val="006668F7"/>
    <w:rsid w:val="00670E00"/>
    <w:rsid w:val="00673267"/>
    <w:rsid w:val="00676402"/>
    <w:rsid w:val="0069041F"/>
    <w:rsid w:val="0069621C"/>
    <w:rsid w:val="006A08E5"/>
    <w:rsid w:val="006A0B18"/>
    <w:rsid w:val="006C7D2D"/>
    <w:rsid w:val="006D0D0B"/>
    <w:rsid w:val="006D1890"/>
    <w:rsid w:val="006E2C6E"/>
    <w:rsid w:val="006F0724"/>
    <w:rsid w:val="00730AAB"/>
    <w:rsid w:val="00745E30"/>
    <w:rsid w:val="00752D49"/>
    <w:rsid w:val="00775B6F"/>
    <w:rsid w:val="007A6DBF"/>
    <w:rsid w:val="007B1093"/>
    <w:rsid w:val="007C6A8D"/>
    <w:rsid w:val="007C77C0"/>
    <w:rsid w:val="007E03B1"/>
    <w:rsid w:val="007E16C0"/>
    <w:rsid w:val="007E3B55"/>
    <w:rsid w:val="007F11FC"/>
    <w:rsid w:val="0080464B"/>
    <w:rsid w:val="00811217"/>
    <w:rsid w:val="0082004C"/>
    <w:rsid w:val="0082636C"/>
    <w:rsid w:val="008274B1"/>
    <w:rsid w:val="00832FD6"/>
    <w:rsid w:val="00833D97"/>
    <w:rsid w:val="00850128"/>
    <w:rsid w:val="00851088"/>
    <w:rsid w:val="0085384E"/>
    <w:rsid w:val="00862580"/>
    <w:rsid w:val="00866D4F"/>
    <w:rsid w:val="0087079B"/>
    <w:rsid w:val="00881C08"/>
    <w:rsid w:val="00886EBB"/>
    <w:rsid w:val="00895FED"/>
    <w:rsid w:val="008A5EE3"/>
    <w:rsid w:val="008A7573"/>
    <w:rsid w:val="008C01DD"/>
    <w:rsid w:val="008C5E9F"/>
    <w:rsid w:val="008D07E4"/>
    <w:rsid w:val="008D3C34"/>
    <w:rsid w:val="008E1E8B"/>
    <w:rsid w:val="008E68C9"/>
    <w:rsid w:val="00904D8B"/>
    <w:rsid w:val="00907B9F"/>
    <w:rsid w:val="009173A7"/>
    <w:rsid w:val="00923FD1"/>
    <w:rsid w:val="009254A3"/>
    <w:rsid w:val="00931C47"/>
    <w:rsid w:val="009374E9"/>
    <w:rsid w:val="0094704A"/>
    <w:rsid w:val="009476AD"/>
    <w:rsid w:val="00962AD4"/>
    <w:rsid w:val="00980307"/>
    <w:rsid w:val="009803FA"/>
    <w:rsid w:val="00997B8D"/>
    <w:rsid w:val="009B3A5F"/>
    <w:rsid w:val="009B6BB4"/>
    <w:rsid w:val="009D59C9"/>
    <w:rsid w:val="009E4CDE"/>
    <w:rsid w:val="00A04291"/>
    <w:rsid w:val="00A22783"/>
    <w:rsid w:val="00A24D63"/>
    <w:rsid w:val="00A2585A"/>
    <w:rsid w:val="00A327AA"/>
    <w:rsid w:val="00A365EC"/>
    <w:rsid w:val="00A62C1B"/>
    <w:rsid w:val="00A81088"/>
    <w:rsid w:val="00A91F43"/>
    <w:rsid w:val="00AA3BBF"/>
    <w:rsid w:val="00AA5338"/>
    <w:rsid w:val="00AC140F"/>
    <w:rsid w:val="00AC3ADE"/>
    <w:rsid w:val="00AD1911"/>
    <w:rsid w:val="00AD4C3B"/>
    <w:rsid w:val="00AD7537"/>
    <w:rsid w:val="00AE1055"/>
    <w:rsid w:val="00B012E2"/>
    <w:rsid w:val="00B0400E"/>
    <w:rsid w:val="00B16374"/>
    <w:rsid w:val="00B2050B"/>
    <w:rsid w:val="00B21797"/>
    <w:rsid w:val="00B34F10"/>
    <w:rsid w:val="00B47F3A"/>
    <w:rsid w:val="00B6768F"/>
    <w:rsid w:val="00B77891"/>
    <w:rsid w:val="00B83B3F"/>
    <w:rsid w:val="00B86726"/>
    <w:rsid w:val="00B9050E"/>
    <w:rsid w:val="00BB7A05"/>
    <w:rsid w:val="00BC2D88"/>
    <w:rsid w:val="00BC6F6B"/>
    <w:rsid w:val="00BD192D"/>
    <w:rsid w:val="00BD6342"/>
    <w:rsid w:val="00BF4CA2"/>
    <w:rsid w:val="00C00DBD"/>
    <w:rsid w:val="00C14F54"/>
    <w:rsid w:val="00C2157C"/>
    <w:rsid w:val="00C300F9"/>
    <w:rsid w:val="00C31F30"/>
    <w:rsid w:val="00C409C6"/>
    <w:rsid w:val="00C41B06"/>
    <w:rsid w:val="00C702B8"/>
    <w:rsid w:val="00C90564"/>
    <w:rsid w:val="00C922A8"/>
    <w:rsid w:val="00CA7D0F"/>
    <w:rsid w:val="00CB3DD2"/>
    <w:rsid w:val="00CB56DB"/>
    <w:rsid w:val="00CB6C81"/>
    <w:rsid w:val="00CB7FE9"/>
    <w:rsid w:val="00CC0E1B"/>
    <w:rsid w:val="00CC3765"/>
    <w:rsid w:val="00CC41B1"/>
    <w:rsid w:val="00CC7C71"/>
    <w:rsid w:val="00CD00CD"/>
    <w:rsid w:val="00CD69A4"/>
    <w:rsid w:val="00CE636F"/>
    <w:rsid w:val="00D02D95"/>
    <w:rsid w:val="00D07C3D"/>
    <w:rsid w:val="00D24842"/>
    <w:rsid w:val="00D50E3A"/>
    <w:rsid w:val="00D74103"/>
    <w:rsid w:val="00D86FE6"/>
    <w:rsid w:val="00DC002F"/>
    <w:rsid w:val="00DD1293"/>
    <w:rsid w:val="00DF6BC6"/>
    <w:rsid w:val="00E32187"/>
    <w:rsid w:val="00E32FC9"/>
    <w:rsid w:val="00E34FCB"/>
    <w:rsid w:val="00E35476"/>
    <w:rsid w:val="00E61598"/>
    <w:rsid w:val="00E61B07"/>
    <w:rsid w:val="00E707B4"/>
    <w:rsid w:val="00E8740B"/>
    <w:rsid w:val="00E97131"/>
    <w:rsid w:val="00E975EF"/>
    <w:rsid w:val="00EA1345"/>
    <w:rsid w:val="00EB2116"/>
    <w:rsid w:val="00EC6DF6"/>
    <w:rsid w:val="00EE2AFD"/>
    <w:rsid w:val="00EF319E"/>
    <w:rsid w:val="00F05CC5"/>
    <w:rsid w:val="00F34DD9"/>
    <w:rsid w:val="00F44866"/>
    <w:rsid w:val="00F57AFD"/>
    <w:rsid w:val="00F76790"/>
    <w:rsid w:val="00F7783B"/>
    <w:rsid w:val="00F778F1"/>
    <w:rsid w:val="00F813DD"/>
    <w:rsid w:val="00F85BCF"/>
    <w:rsid w:val="00FA35BB"/>
    <w:rsid w:val="00FA625B"/>
    <w:rsid w:val="00FA665A"/>
    <w:rsid w:val="00FB06FD"/>
    <w:rsid w:val="00FE3426"/>
    <w:rsid w:val="01913586"/>
    <w:rsid w:val="05652960"/>
    <w:rsid w:val="077944A5"/>
    <w:rsid w:val="096F42DB"/>
    <w:rsid w:val="098511E9"/>
    <w:rsid w:val="0AA226EF"/>
    <w:rsid w:val="0DAD546B"/>
    <w:rsid w:val="100A114E"/>
    <w:rsid w:val="103A7AF4"/>
    <w:rsid w:val="10DEDB55"/>
    <w:rsid w:val="11484152"/>
    <w:rsid w:val="160F62D8"/>
    <w:rsid w:val="169F406A"/>
    <w:rsid w:val="16EC6455"/>
    <w:rsid w:val="172A56EF"/>
    <w:rsid w:val="17920B5F"/>
    <w:rsid w:val="1E2F1243"/>
    <w:rsid w:val="1EBF3EFA"/>
    <w:rsid w:val="1FC13327"/>
    <w:rsid w:val="20C2334D"/>
    <w:rsid w:val="22724557"/>
    <w:rsid w:val="23C6725A"/>
    <w:rsid w:val="257F7102"/>
    <w:rsid w:val="26733FDA"/>
    <w:rsid w:val="280C5CDE"/>
    <w:rsid w:val="2817070D"/>
    <w:rsid w:val="28CB5668"/>
    <w:rsid w:val="2A691456"/>
    <w:rsid w:val="2D950F8C"/>
    <w:rsid w:val="2EE80F73"/>
    <w:rsid w:val="311B1B74"/>
    <w:rsid w:val="34002056"/>
    <w:rsid w:val="363277D0"/>
    <w:rsid w:val="38FF5DE7"/>
    <w:rsid w:val="39BD5C5C"/>
    <w:rsid w:val="3AEE44F9"/>
    <w:rsid w:val="3C163FBE"/>
    <w:rsid w:val="3C73DD71"/>
    <w:rsid w:val="3E826197"/>
    <w:rsid w:val="3EB66520"/>
    <w:rsid w:val="409A6D4E"/>
    <w:rsid w:val="40DB283F"/>
    <w:rsid w:val="4445518C"/>
    <w:rsid w:val="45B446CE"/>
    <w:rsid w:val="46B86F17"/>
    <w:rsid w:val="47B95F26"/>
    <w:rsid w:val="48982E32"/>
    <w:rsid w:val="48EA149B"/>
    <w:rsid w:val="499F453F"/>
    <w:rsid w:val="4A206DC2"/>
    <w:rsid w:val="4B665C38"/>
    <w:rsid w:val="4B7A2BB6"/>
    <w:rsid w:val="4B9634ED"/>
    <w:rsid w:val="4DE04894"/>
    <w:rsid w:val="50AB25F7"/>
    <w:rsid w:val="539E1E93"/>
    <w:rsid w:val="55E351DC"/>
    <w:rsid w:val="55F61B9C"/>
    <w:rsid w:val="563D6B5D"/>
    <w:rsid w:val="5718173F"/>
    <w:rsid w:val="58A71536"/>
    <w:rsid w:val="590B2533"/>
    <w:rsid w:val="5A957F03"/>
    <w:rsid w:val="5B853ED9"/>
    <w:rsid w:val="5D814826"/>
    <w:rsid w:val="5EE56F92"/>
    <w:rsid w:val="5F167CA1"/>
    <w:rsid w:val="5FDC0F47"/>
    <w:rsid w:val="604C0D30"/>
    <w:rsid w:val="643153AC"/>
    <w:rsid w:val="64370B9A"/>
    <w:rsid w:val="64A95C70"/>
    <w:rsid w:val="6546661C"/>
    <w:rsid w:val="66F67CB6"/>
    <w:rsid w:val="671F1F82"/>
    <w:rsid w:val="6A586F8D"/>
    <w:rsid w:val="6D382A38"/>
    <w:rsid w:val="6DEA38E9"/>
    <w:rsid w:val="6E773A6F"/>
    <w:rsid w:val="6EDF134D"/>
    <w:rsid w:val="6F272849"/>
    <w:rsid w:val="6F5F5491"/>
    <w:rsid w:val="71BC0D8E"/>
    <w:rsid w:val="73CF6189"/>
    <w:rsid w:val="758F2E88"/>
    <w:rsid w:val="76F9953A"/>
    <w:rsid w:val="78473281"/>
    <w:rsid w:val="7A0C607E"/>
    <w:rsid w:val="7A197673"/>
    <w:rsid w:val="7B5178F8"/>
    <w:rsid w:val="7FB030D9"/>
    <w:rsid w:val="BFAB9187"/>
    <w:rsid w:val="BFF72B48"/>
    <w:rsid w:val="C77F3021"/>
    <w:rsid w:val="DEFD1399"/>
    <w:rsid w:val="DFFF8AE2"/>
    <w:rsid w:val="E03F8E7C"/>
    <w:rsid w:val="FFF337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spacing w:after="120"/>
      <w:ind w:firstLine="420" w:firstLineChars="100"/>
      <w:jc w:val="both"/>
    </w:pPr>
    <w:rPr>
      <w:rFonts w:ascii="Times New Roman" w:hAnsi="Times New Roman" w:eastAsia="宋体" w:cs="Times New Roman"/>
    </w:rPr>
  </w:style>
  <w:style w:type="paragraph" w:styleId="3">
    <w:name w:val="Body Text"/>
    <w:basedOn w:val="1"/>
    <w:link w:val="19"/>
    <w:unhideWhenUsed/>
    <w:qFormat/>
    <w:uiPriority w:val="99"/>
    <w:pPr>
      <w:jc w:val="center"/>
    </w:pPr>
    <w:rPr>
      <w:rFonts w:asciiTheme="minorHAnsi" w:hAnsiTheme="minorHAnsi" w:eastAsiaTheme="minorEastAsia" w:cstheme="minorBidi"/>
    </w:rPr>
  </w:style>
  <w:style w:type="paragraph" w:styleId="4">
    <w:name w:val="endnote text"/>
    <w:basedOn w:val="1"/>
    <w:link w:val="17"/>
    <w:unhideWhenUsed/>
    <w:qFormat/>
    <w:uiPriority w:val="99"/>
    <w:pPr>
      <w:snapToGrid w:val="0"/>
      <w:jc w:val="left"/>
    </w:pPr>
  </w:style>
  <w:style w:type="paragraph" w:styleId="5">
    <w:name w:val="Balloon Text"/>
    <w:basedOn w:val="1"/>
    <w:link w:val="14"/>
    <w:unhideWhenUsed/>
    <w:qFormat/>
    <w:uiPriority w:val="0"/>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rPr>
      <w:sz w:val="24"/>
    </w:rPr>
  </w:style>
  <w:style w:type="character" w:styleId="11">
    <w:name w:val="endnote reference"/>
    <w:basedOn w:val="10"/>
    <w:unhideWhenUsed/>
    <w:qFormat/>
    <w:uiPriority w:val="99"/>
    <w:rPr>
      <w:vertAlign w:val="superscript"/>
    </w:rPr>
  </w:style>
  <w:style w:type="character" w:styleId="12">
    <w:name w:val="page number"/>
    <w:basedOn w:val="10"/>
    <w:qFormat/>
    <w:uiPriority w:val="99"/>
  </w:style>
  <w:style w:type="character" w:styleId="13">
    <w:name w:val="Hyperlink"/>
    <w:basedOn w:val="10"/>
    <w:unhideWhenUsed/>
    <w:qFormat/>
    <w:uiPriority w:val="99"/>
    <w:rPr>
      <w:color w:val="0000FF"/>
      <w:u w:val="single"/>
    </w:rPr>
  </w:style>
  <w:style w:type="character" w:customStyle="1" w:styleId="14">
    <w:name w:val="批注框文本 Char"/>
    <w:basedOn w:val="10"/>
    <w:link w:val="5"/>
    <w:semiHidden/>
    <w:qFormat/>
    <w:uiPriority w:val="99"/>
    <w:rPr>
      <w:rFonts w:ascii="Times New Roman" w:hAnsi="Times New Roman" w:eastAsia="宋体" w:cs="Times New Roman"/>
      <w:sz w:val="18"/>
      <w:szCs w:val="18"/>
    </w:rPr>
  </w:style>
  <w:style w:type="character" w:customStyle="1" w:styleId="15">
    <w:name w:val="页眉 Char"/>
    <w:basedOn w:val="10"/>
    <w:link w:val="7"/>
    <w:qFormat/>
    <w:uiPriority w:val="99"/>
    <w:rPr>
      <w:rFonts w:ascii="Times New Roman" w:hAnsi="Times New Roman" w:eastAsia="宋体" w:cs="Times New Roman"/>
      <w:sz w:val="18"/>
      <w:szCs w:val="18"/>
    </w:rPr>
  </w:style>
  <w:style w:type="character" w:customStyle="1" w:styleId="16">
    <w:name w:val="页脚 Char"/>
    <w:basedOn w:val="10"/>
    <w:link w:val="6"/>
    <w:qFormat/>
    <w:uiPriority w:val="99"/>
    <w:rPr>
      <w:rFonts w:ascii="Times New Roman" w:hAnsi="Times New Roman" w:eastAsia="宋体" w:cs="Times New Roman"/>
      <w:sz w:val="18"/>
      <w:szCs w:val="18"/>
    </w:rPr>
  </w:style>
  <w:style w:type="character" w:customStyle="1" w:styleId="17">
    <w:name w:val="尾注文本 Char"/>
    <w:basedOn w:val="10"/>
    <w:link w:val="4"/>
    <w:semiHidden/>
    <w:qFormat/>
    <w:uiPriority w:val="99"/>
    <w:rPr>
      <w:rFonts w:ascii="Times New Roman" w:hAnsi="Times New Roman" w:eastAsia="宋体" w:cs="Times New Roman"/>
      <w:szCs w:val="24"/>
    </w:rPr>
  </w:style>
  <w:style w:type="character" w:customStyle="1" w:styleId="18">
    <w:name w:val="正文文本 Char"/>
    <w:basedOn w:val="10"/>
    <w:link w:val="3"/>
    <w:qFormat/>
    <w:uiPriority w:val="99"/>
    <w:rPr>
      <w:kern w:val="2"/>
      <w:sz w:val="21"/>
      <w:szCs w:val="24"/>
    </w:rPr>
  </w:style>
  <w:style w:type="character" w:customStyle="1" w:styleId="19">
    <w:name w:val="正文文本 Char1"/>
    <w:basedOn w:val="10"/>
    <w:link w:val="3"/>
    <w:semiHidden/>
    <w:qFormat/>
    <w:uiPriority w:val="99"/>
    <w:rPr>
      <w:rFonts w:ascii="Times New Roman" w:hAnsi="Times New Roman" w:eastAsia="宋体" w:cs="Times New Roman"/>
      <w:kern w:val="2"/>
      <w:sz w:val="21"/>
      <w:szCs w:val="24"/>
    </w:rPr>
  </w:style>
  <w:style w:type="paragraph" w:customStyle="1" w:styleId="20">
    <w:name w:val="List Paragraph"/>
    <w:basedOn w:val="1"/>
    <w:unhideWhenUsed/>
    <w:qFormat/>
    <w:uiPriority w:val="99"/>
    <w:pPr>
      <w:ind w:firstLine="420" w:firstLineChars="200"/>
    </w:pPr>
  </w:style>
  <w:style w:type="character" w:customStyle="1" w:styleId="21">
    <w:name w:val="fontstyle01"/>
    <w:qFormat/>
    <w:uiPriority w:val="0"/>
    <w:rPr>
      <w:rFonts w:hint="eastAsia" w:ascii="仿宋_GB2312" w:hAnsi="Calibri" w:eastAsia="仿宋_GB2312" w:cs="Times New Roman"/>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31</Pages>
  <Words>15794</Words>
  <Characters>16380</Characters>
  <Lines>121</Lines>
  <Paragraphs>34</Paragraphs>
  <TotalTime>3</TotalTime>
  <ScaleCrop>false</ScaleCrop>
  <LinksUpToDate>false</LinksUpToDate>
  <CharactersWithSpaces>16507</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2021-05-04T00:46:00Z</dcterms:created>
  <dc:creator>桂鑫</dc:creator>
  <cp:lastModifiedBy>邓国威</cp:lastModifiedBy>
  <dcterms:modified xsi:type="dcterms:W3CDTF">2024-01-05T10:13:25Z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7F39CE9C0325425C9FE03BE32E0AC86F</vt:lpwstr>
  </property>
</Properties>
</file>